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01E" w:rsidRPr="0020224B" w:rsidRDefault="00F7701E" w:rsidP="00A858E2">
      <w:pPr>
        <w:pStyle w:val="Title"/>
      </w:pPr>
      <w:bookmarkStart w:id="0" w:name="_Toc138756733"/>
      <w:bookmarkStart w:id="1" w:name="_GoBack"/>
      <w:r w:rsidRPr="0020224B">
        <w:rPr>
          <w:caps/>
        </w:rPr>
        <w:t>Cns</w:t>
      </w:r>
      <w:r w:rsidRPr="0020224B">
        <w:t xml:space="preserve"> complications of Viral Infections and Vaccines</w:t>
      </w:r>
      <w:bookmarkEnd w:id="0"/>
    </w:p>
    <w:p w:rsidR="00C4239C" w:rsidRDefault="00C4239C" w:rsidP="00C4239C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3E1DE0">
        <w:rPr>
          <w:noProof/>
        </w:rPr>
        <w:t>September 5, 2017</w:t>
      </w:r>
      <w:r>
        <w:fldChar w:fldCharType="end"/>
      </w:r>
    </w:p>
    <w:p w:rsidR="009F4395" w:rsidRPr="0020224B" w:rsidRDefault="00F7701E">
      <w:pPr>
        <w:pStyle w:val="TOC1"/>
        <w:tabs>
          <w:tab w:val="right" w:leader="dot" w:pos="9912"/>
        </w:tabs>
        <w:rPr>
          <w:b w:val="0"/>
          <w:smallCaps w:val="0"/>
          <w:noProof/>
          <w:szCs w:val="24"/>
          <w:lang w:val="en-US"/>
        </w:rPr>
      </w:pPr>
      <w:r w:rsidRPr="0020224B">
        <w:rPr>
          <w:lang w:val="en-US"/>
        </w:rPr>
        <w:fldChar w:fldCharType="begin"/>
      </w:r>
      <w:r w:rsidRPr="0020224B">
        <w:rPr>
          <w:lang w:val="en-US"/>
        </w:rPr>
        <w:instrText xml:space="preserve"> TOC \h \z \t "Antraštė;1" </w:instrText>
      </w:r>
      <w:r w:rsidRPr="0020224B">
        <w:rPr>
          <w:lang w:val="en-US"/>
        </w:rPr>
        <w:fldChar w:fldCharType="separate"/>
      </w:r>
      <w:hyperlink w:anchor="_Toc230847241" w:history="1">
        <w:r w:rsidR="009F4395" w:rsidRPr="0020224B">
          <w:rPr>
            <w:rStyle w:val="Hyperlink"/>
            <w:noProof/>
            <w:lang w:val="en-US"/>
          </w:rPr>
          <w:t>Acute Disseminated Encephalomyelitis (ADEM)</w:t>
        </w:r>
        <w:r w:rsidR="009F4395" w:rsidRPr="0020224B">
          <w:rPr>
            <w:noProof/>
            <w:webHidden/>
            <w:lang w:val="en-US"/>
          </w:rPr>
          <w:tab/>
        </w:r>
        <w:r w:rsidR="009F4395" w:rsidRPr="0020224B">
          <w:rPr>
            <w:noProof/>
            <w:webHidden/>
            <w:lang w:val="en-US"/>
          </w:rPr>
          <w:fldChar w:fldCharType="begin"/>
        </w:r>
        <w:r w:rsidR="009F4395" w:rsidRPr="0020224B">
          <w:rPr>
            <w:noProof/>
            <w:webHidden/>
            <w:lang w:val="en-US"/>
          </w:rPr>
          <w:instrText xml:space="preserve"> PAGEREF _Toc230847241 \h </w:instrText>
        </w:r>
        <w:r w:rsidR="009F4395" w:rsidRPr="0020224B">
          <w:rPr>
            <w:noProof/>
            <w:webHidden/>
            <w:lang w:val="en-US"/>
          </w:rPr>
        </w:r>
        <w:r w:rsidR="009F4395" w:rsidRPr="0020224B">
          <w:rPr>
            <w:noProof/>
            <w:webHidden/>
            <w:lang w:val="en-US"/>
          </w:rPr>
          <w:fldChar w:fldCharType="separate"/>
        </w:r>
        <w:r w:rsidR="003E1DE0">
          <w:rPr>
            <w:noProof/>
            <w:webHidden/>
            <w:lang w:val="en-US"/>
          </w:rPr>
          <w:t>1</w:t>
        </w:r>
        <w:r w:rsidR="009F4395" w:rsidRPr="0020224B">
          <w:rPr>
            <w:noProof/>
            <w:webHidden/>
            <w:lang w:val="en-US"/>
          </w:rPr>
          <w:fldChar w:fldCharType="end"/>
        </w:r>
      </w:hyperlink>
    </w:p>
    <w:p w:rsidR="009F4395" w:rsidRPr="0020224B" w:rsidRDefault="003E1DE0">
      <w:pPr>
        <w:pStyle w:val="TOC1"/>
        <w:tabs>
          <w:tab w:val="right" w:leader="dot" w:pos="9912"/>
        </w:tabs>
        <w:rPr>
          <w:b w:val="0"/>
          <w:smallCaps w:val="0"/>
          <w:noProof/>
          <w:szCs w:val="24"/>
          <w:lang w:val="en-US"/>
        </w:rPr>
      </w:pPr>
      <w:hyperlink w:anchor="_Toc230847242" w:history="1">
        <w:r w:rsidR="009F4395" w:rsidRPr="0020224B">
          <w:rPr>
            <w:rStyle w:val="Hyperlink"/>
            <w:noProof/>
            <w:lang w:val="en-US"/>
          </w:rPr>
          <w:t>Acute necrotizing hemorrhagic encephalomyelitis (ANHEM), s. Acute Hemorrhagic Leukoencephalitis of Weston Hurst</w:t>
        </w:r>
        <w:r w:rsidR="009F4395" w:rsidRPr="0020224B">
          <w:rPr>
            <w:noProof/>
            <w:webHidden/>
            <w:lang w:val="en-US"/>
          </w:rPr>
          <w:tab/>
        </w:r>
        <w:r w:rsidR="009F4395" w:rsidRPr="0020224B">
          <w:rPr>
            <w:noProof/>
            <w:webHidden/>
            <w:lang w:val="en-US"/>
          </w:rPr>
          <w:fldChar w:fldCharType="begin"/>
        </w:r>
        <w:r w:rsidR="009F4395" w:rsidRPr="0020224B">
          <w:rPr>
            <w:noProof/>
            <w:webHidden/>
            <w:lang w:val="en-US"/>
          </w:rPr>
          <w:instrText xml:space="preserve"> PAGEREF _Toc230847242 \h </w:instrText>
        </w:r>
        <w:r w:rsidR="009F4395" w:rsidRPr="0020224B">
          <w:rPr>
            <w:noProof/>
            <w:webHidden/>
            <w:lang w:val="en-US"/>
          </w:rPr>
        </w:r>
        <w:r w:rsidR="009F4395" w:rsidRPr="0020224B">
          <w:rPr>
            <w:noProof/>
            <w:webHidden/>
            <w:lang w:val="en-US"/>
          </w:rPr>
          <w:fldChar w:fldCharType="separate"/>
        </w:r>
        <w:r>
          <w:rPr>
            <w:noProof/>
            <w:webHidden/>
            <w:lang w:val="en-US"/>
          </w:rPr>
          <w:t>2</w:t>
        </w:r>
        <w:r w:rsidR="009F4395" w:rsidRPr="0020224B">
          <w:rPr>
            <w:noProof/>
            <w:webHidden/>
            <w:lang w:val="en-US"/>
          </w:rPr>
          <w:fldChar w:fldCharType="end"/>
        </w:r>
      </w:hyperlink>
    </w:p>
    <w:p w:rsidR="00F7701E" w:rsidRPr="0020224B" w:rsidRDefault="00F7701E" w:rsidP="00753A40">
      <w:pPr>
        <w:pStyle w:val="NormalWeb"/>
      </w:pPr>
      <w:r w:rsidRPr="0020224B">
        <w:fldChar w:fldCharType="end"/>
      </w:r>
      <w:r w:rsidRPr="0020224B">
        <w:rPr>
          <w:b/>
          <w:bCs/>
          <w:smallCaps/>
        </w:rPr>
        <w:t>Acute Cerebellar Ataxia</w:t>
      </w:r>
      <w:r w:rsidRPr="0020224B">
        <w:t xml:space="preserve"> </w:t>
      </w:r>
      <w:r w:rsidR="00F77D74">
        <w:t xml:space="preserve">→ </w:t>
      </w:r>
      <w:r w:rsidR="00B24651">
        <w:t xml:space="preserve">see </w:t>
      </w:r>
      <w:hyperlink r:id="rId7" w:history="1">
        <w:r w:rsidR="00B24651" w:rsidRPr="00F77D74">
          <w:rPr>
            <w:rStyle w:val="Hyperlink"/>
          </w:rPr>
          <w:t xml:space="preserve">p. </w:t>
        </w:r>
        <w:r w:rsidRPr="00F77D74">
          <w:rPr>
            <w:rStyle w:val="Hyperlink"/>
          </w:rPr>
          <w:t>Mov50</w:t>
        </w:r>
        <w:r w:rsidR="00B24651" w:rsidRPr="00F77D74">
          <w:rPr>
            <w:rStyle w:val="Hyperlink"/>
          </w:rPr>
          <w:t xml:space="preserve"> &gt;&gt;</w:t>
        </w:r>
      </w:hyperlink>
    </w:p>
    <w:p w:rsidR="00CC11A4" w:rsidRPr="0020224B" w:rsidRDefault="00CC11A4" w:rsidP="00753A40">
      <w:pPr>
        <w:pStyle w:val="NormalWeb"/>
      </w:pPr>
    </w:p>
    <w:p w:rsidR="00CC11A4" w:rsidRPr="0020224B" w:rsidRDefault="00CC11A4" w:rsidP="00753A40">
      <w:pPr>
        <w:pStyle w:val="NormalWeb"/>
      </w:pPr>
    </w:p>
    <w:p w:rsidR="00F430C0" w:rsidRPr="0020224B" w:rsidRDefault="00F430C0" w:rsidP="00F430C0">
      <w:pPr>
        <w:pStyle w:val="NormalWeb"/>
      </w:pPr>
      <w:r>
        <w:t>M</w:t>
      </w:r>
      <w:r w:rsidRPr="0020224B">
        <w:t xml:space="preserve">ediated by </w:t>
      </w:r>
      <w:r w:rsidRPr="0020224B">
        <w:rPr>
          <w:b/>
          <w:bCs/>
          <w:color w:val="0000FF"/>
        </w:rPr>
        <w:t>autoimmune mechanisms</w:t>
      </w:r>
      <w:r w:rsidRPr="0020224B">
        <w:t xml:space="preserve"> (vs. </w:t>
      </w:r>
      <w:r w:rsidRPr="0020224B">
        <w:rPr>
          <w:color w:val="0000FF"/>
        </w:rPr>
        <w:t>direct CNS invasion</w:t>
      </w:r>
      <w:r w:rsidRPr="0020224B">
        <w:t xml:space="preserve"> by organism).</w:t>
      </w:r>
    </w:p>
    <w:p w:rsidR="00F430C0" w:rsidRPr="0020224B" w:rsidRDefault="00F430C0" w:rsidP="00F430C0">
      <w:pPr>
        <w:pStyle w:val="NormalWeb"/>
        <w:numPr>
          <w:ilvl w:val="0"/>
          <w:numId w:val="4"/>
        </w:numPr>
        <w:rPr>
          <w:rFonts w:eastAsia="Arial Unicode MS"/>
        </w:rPr>
      </w:pPr>
      <w:r w:rsidRPr="0020224B">
        <w:rPr>
          <w:szCs w:val="15"/>
        </w:rPr>
        <w:t>PNS counterpart - Guillain-Barré syndrome.</w:t>
      </w:r>
    </w:p>
    <w:p w:rsidR="00CC11A4" w:rsidRDefault="00CC11A4" w:rsidP="00753A40">
      <w:pPr>
        <w:pStyle w:val="NormalWeb"/>
      </w:pPr>
    </w:p>
    <w:p w:rsidR="00F430C0" w:rsidRDefault="00F430C0" w:rsidP="00753A40">
      <w:pPr>
        <w:pStyle w:val="NormalWeb"/>
      </w:pPr>
    </w:p>
    <w:p w:rsidR="00F430C0" w:rsidRDefault="00F430C0" w:rsidP="00753A40">
      <w:pPr>
        <w:pStyle w:val="NormalWeb"/>
      </w:pPr>
    </w:p>
    <w:p w:rsidR="00F430C0" w:rsidRPr="0020224B" w:rsidRDefault="00F430C0" w:rsidP="00753A40">
      <w:pPr>
        <w:pStyle w:val="NormalWeb"/>
      </w:pPr>
    </w:p>
    <w:p w:rsidR="00F7701E" w:rsidRPr="0020224B" w:rsidRDefault="00F7701E">
      <w:pPr>
        <w:pStyle w:val="Antrat"/>
      </w:pPr>
      <w:bookmarkStart w:id="2" w:name="_Toc230847241"/>
      <w:r w:rsidRPr="0020224B">
        <w:t>Acute Disseminated Encephalomyelitis (ADEM)</w:t>
      </w:r>
      <w:bookmarkEnd w:id="2"/>
    </w:p>
    <w:p w:rsidR="00F7701E" w:rsidRPr="0020224B" w:rsidRDefault="00F7701E">
      <w:pPr>
        <w:pStyle w:val="NormalWeb"/>
      </w:pPr>
      <w:r w:rsidRPr="0020224B">
        <w:t xml:space="preserve">- </w:t>
      </w:r>
      <w:r w:rsidRPr="0020224B">
        <w:rPr>
          <w:b/>
          <w:bCs/>
        </w:rPr>
        <w:t>monophasic</w:t>
      </w:r>
      <w:r w:rsidRPr="0020224B">
        <w:t xml:space="preserve"> inflammatory demyelinating disorder that begins </w:t>
      </w:r>
      <w:r w:rsidRPr="0020224B">
        <w:rPr>
          <w:b/>
          <w:bCs/>
          <w:i/>
          <w:iCs/>
        </w:rPr>
        <w:t>within 6 weeks</w:t>
      </w:r>
      <w:r w:rsidRPr="0020224B">
        <w:t xml:space="preserve"> of antigenic challenge (infection or immunization).</w:t>
      </w:r>
    </w:p>
    <w:p w:rsidR="00F7701E" w:rsidRPr="0020224B" w:rsidRDefault="00F7701E">
      <w:pPr>
        <w:pStyle w:val="NormalWeb"/>
        <w:numPr>
          <w:ilvl w:val="0"/>
          <w:numId w:val="1"/>
        </w:numPr>
      </w:pPr>
      <w:r w:rsidRPr="0020224B">
        <w:rPr>
          <w:i/>
          <w:iCs/>
          <w:color w:val="0000FF"/>
        </w:rPr>
        <w:t>considerable overlap</w:t>
      </w:r>
      <w:r w:rsidRPr="0020224B">
        <w:t xml:space="preserve"> in epidemiological, pathological, pathophysiological, clinical, CSF, imaging features </w:t>
      </w:r>
      <w:r w:rsidRPr="0020224B">
        <w:rPr>
          <w:i/>
          <w:iCs/>
          <w:color w:val="0000FF"/>
        </w:rPr>
        <w:t>between ADEM and MS</w:t>
      </w:r>
      <w:r w:rsidRPr="0020224B">
        <w:t xml:space="preserve"> - difficult to distinguish between two when encountering patients with single demyelinating event.</w:t>
      </w:r>
    </w:p>
    <w:p w:rsidR="00F7701E" w:rsidRDefault="00F7701E">
      <w:pPr>
        <w:pStyle w:val="NormalWeb"/>
      </w:pPr>
    </w:p>
    <w:p w:rsidR="0069042F" w:rsidRPr="0020224B" w:rsidRDefault="0069042F">
      <w:pPr>
        <w:pStyle w:val="NormalWeb"/>
      </w:pPr>
    </w:p>
    <w:p w:rsidR="00F7701E" w:rsidRPr="0020224B" w:rsidRDefault="00F7701E">
      <w:pPr>
        <w:pStyle w:val="Nervous1"/>
      </w:pPr>
      <w:r w:rsidRPr="0020224B">
        <w:t>Pathophysiology</w:t>
      </w:r>
    </w:p>
    <w:p w:rsidR="00F7701E" w:rsidRPr="0020224B" w:rsidRDefault="00F7701E">
      <w:pPr>
        <w:pStyle w:val="NormalWeb"/>
      </w:pPr>
      <w:r w:rsidRPr="0020224B">
        <w:t xml:space="preserve">- </w:t>
      </w:r>
      <w:r w:rsidRPr="0020224B">
        <w:rPr>
          <w:highlight w:val="yellow"/>
        </w:rPr>
        <w:t>transient cell-mediated autoimmune response toward myelin</w:t>
      </w:r>
      <w:r w:rsidRPr="0020224B">
        <w:t xml:space="preserve"> (e.g. myelin basic protein).</w:t>
      </w:r>
    </w:p>
    <w:p w:rsidR="00F7701E" w:rsidRPr="0020224B" w:rsidRDefault="00F7701E">
      <w:pPr>
        <w:pStyle w:val="NormalWeb"/>
        <w:numPr>
          <w:ilvl w:val="0"/>
          <w:numId w:val="1"/>
        </w:numPr>
      </w:pPr>
      <w:r w:rsidRPr="0020224B">
        <w:t xml:space="preserve">infections and vaccinations induce ADEM by </w:t>
      </w:r>
      <w:r w:rsidRPr="0020224B">
        <w:rPr>
          <w:b/>
          <w:bCs/>
          <w:i/>
          <w:iCs/>
        </w:rPr>
        <w:t>molecular mimicry</w:t>
      </w:r>
      <w:r w:rsidRPr="0020224B">
        <w:t xml:space="preserve"> or by nonspecific </w:t>
      </w:r>
      <w:r w:rsidRPr="0020224B">
        <w:rPr>
          <w:b/>
          <w:bCs/>
          <w:i/>
          <w:iCs/>
        </w:rPr>
        <w:t>activation of autoreactive T-cell clones</w:t>
      </w:r>
      <w:r w:rsidRPr="0020224B">
        <w:t>.</w:t>
      </w:r>
    </w:p>
    <w:p w:rsidR="00F7701E" w:rsidRPr="0020224B" w:rsidRDefault="00F7701E">
      <w:pPr>
        <w:pStyle w:val="NormalWeb"/>
      </w:pPr>
    </w:p>
    <w:p w:rsidR="00F7701E" w:rsidRPr="0020224B" w:rsidRDefault="00F7701E">
      <w:pPr>
        <w:pStyle w:val="NormalWeb"/>
      </w:pPr>
      <w:r w:rsidRPr="0020224B">
        <w:rPr>
          <w:u w:val="single"/>
        </w:rPr>
        <w:t>Histology</w:t>
      </w:r>
      <w:r w:rsidRPr="0020224B">
        <w:t xml:space="preserve"> - perivenous inflammation-edema-demyelination with relative preservation of axons.</w:t>
      </w:r>
    </w:p>
    <w:p w:rsidR="00142DAF" w:rsidRPr="0020224B" w:rsidRDefault="00142DAF" w:rsidP="00142DAF">
      <w:pPr>
        <w:pStyle w:val="NormalWeb"/>
        <w:ind w:left="2160"/>
        <w:rPr>
          <w:smallCaps/>
        </w:rPr>
      </w:pPr>
      <w:r w:rsidRPr="0020224B">
        <w:rPr>
          <w:b/>
          <w:bCs/>
          <w:smallCaps/>
          <w:color w:val="FF0000"/>
        </w:rPr>
        <w:t>perivenous</w:t>
      </w:r>
      <w:r w:rsidRPr="0020224B">
        <w:rPr>
          <w:smallCaps/>
          <w:color w:val="FF0000"/>
        </w:rPr>
        <w:t xml:space="preserve"> </w:t>
      </w:r>
      <w:r w:rsidRPr="0020224B">
        <w:rPr>
          <w:b/>
          <w:smallCaps/>
          <w:color w:val="FF0000"/>
        </w:rPr>
        <w:t>demyelination !!!</w:t>
      </w:r>
    </w:p>
    <w:p w:rsidR="00F7701E" w:rsidRPr="0020224B" w:rsidRDefault="00F7701E">
      <w:pPr>
        <w:pStyle w:val="NormalWeb"/>
        <w:numPr>
          <w:ilvl w:val="0"/>
          <w:numId w:val="1"/>
        </w:numPr>
      </w:pPr>
      <w:r w:rsidRPr="0020224B">
        <w:t>lesions commonly enlarge and coalesce, forming lesions pathologically indistinguishable from MS.</w:t>
      </w:r>
    </w:p>
    <w:p w:rsidR="00F7701E" w:rsidRPr="0020224B" w:rsidRDefault="00F7701E">
      <w:pPr>
        <w:pStyle w:val="NormalWeb"/>
        <w:numPr>
          <w:ilvl w:val="0"/>
          <w:numId w:val="1"/>
        </w:numPr>
      </w:pPr>
      <w:r w:rsidRPr="0020224B">
        <w:rPr>
          <w:szCs w:val="15"/>
        </w:rPr>
        <w:t>repair occurs through remyelination.</w:t>
      </w:r>
    </w:p>
    <w:p w:rsidR="00F7701E" w:rsidRDefault="00F7701E">
      <w:pPr>
        <w:pStyle w:val="NormalWeb"/>
      </w:pPr>
    </w:p>
    <w:p w:rsidR="0069042F" w:rsidRPr="0020224B" w:rsidRDefault="0069042F">
      <w:pPr>
        <w:pStyle w:val="NormalWeb"/>
      </w:pPr>
    </w:p>
    <w:p w:rsidR="00F7701E" w:rsidRPr="0020224B" w:rsidRDefault="00C4239C">
      <w:pPr>
        <w:pStyle w:val="NormalWeb"/>
      </w:pPr>
      <w:r>
        <w:rPr>
          <w:noProof/>
        </w:rPr>
        <w:drawing>
          <wp:inline distT="0" distB="0" distL="0" distR="0" wp14:anchorId="1909E538" wp14:editId="2BAB4D77">
            <wp:extent cx="5810250" cy="4333875"/>
            <wp:effectExtent l="0" t="0" r="0" b="9525"/>
            <wp:docPr id="2" name="Picture 1" descr="D:\Viktoro\Neuroscience\Dem. Demyelinating disorders\00. Pictures\Postvaccinal encephalomyelitis (histolog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ktoro\Neuroscience\Dem. Demyelinating disorders\00. Pictures\Postvaccinal encephalomyelitis (histology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34E" w:rsidRPr="0020224B" w:rsidRDefault="00A7234E">
      <w:pPr>
        <w:pStyle w:val="NormalWeb"/>
      </w:pPr>
    </w:p>
    <w:p w:rsidR="00A7234E" w:rsidRPr="0020224B" w:rsidRDefault="00A7234E">
      <w:pPr>
        <w:pStyle w:val="NormalWeb"/>
      </w:pPr>
    </w:p>
    <w:p w:rsidR="00F7701E" w:rsidRPr="0020224B" w:rsidRDefault="00F7701E">
      <w:pPr>
        <w:pStyle w:val="Nervous1"/>
      </w:pPr>
      <w:r w:rsidRPr="0020224B">
        <w:t>Etiology</w:t>
      </w:r>
    </w:p>
    <w:p w:rsidR="00F7701E" w:rsidRPr="0020224B" w:rsidRDefault="00F7701E">
      <w:pPr>
        <w:pStyle w:val="NormalWeb"/>
        <w:numPr>
          <w:ilvl w:val="1"/>
          <w:numId w:val="1"/>
        </w:numPr>
      </w:pPr>
      <w:r w:rsidRPr="0020224B">
        <w:rPr>
          <w:b/>
          <w:bCs/>
          <w:smallCaps/>
          <w:highlight w:val="yellow"/>
        </w:rPr>
        <w:t>vaccines</w:t>
      </w:r>
      <w:r w:rsidRPr="0020224B">
        <w:t xml:space="preserve"> - </w:t>
      </w:r>
      <w:r w:rsidRPr="0020224B">
        <w:rPr>
          <w:b/>
          <w:bCs/>
          <w:smallCaps/>
          <w:color w:val="0000FF"/>
          <w:szCs w:val="20"/>
        </w:rPr>
        <w:t>postvaccinal encephalomyelitis</w:t>
      </w:r>
      <w:r w:rsidRPr="0020224B">
        <w:t xml:space="preserve"> (3-6% of all ADEM cases).</w:t>
      </w:r>
    </w:p>
    <w:p w:rsidR="00F7701E" w:rsidRPr="0020224B" w:rsidRDefault="00F7701E">
      <w:pPr>
        <w:pStyle w:val="NormalWeb"/>
        <w:numPr>
          <w:ilvl w:val="2"/>
          <w:numId w:val="1"/>
        </w:numPr>
      </w:pPr>
      <w:r w:rsidRPr="0020224B">
        <w:t xml:space="preserve">only epidemiologically and pathologically proven association is with </w:t>
      </w:r>
      <w:r w:rsidRPr="0020224B">
        <w:rPr>
          <w:i/>
          <w:iCs/>
          <w:color w:val="FF0000"/>
        </w:rPr>
        <w:t>rabies vaccination</w:t>
      </w:r>
      <w:r w:rsidRPr="0020224B">
        <w:t>.</w:t>
      </w:r>
    </w:p>
    <w:p w:rsidR="00F7701E" w:rsidRPr="0020224B" w:rsidRDefault="00F7701E">
      <w:pPr>
        <w:pStyle w:val="NormalWeb"/>
        <w:numPr>
          <w:ilvl w:val="3"/>
          <w:numId w:val="5"/>
        </w:numPr>
      </w:pPr>
      <w:r w:rsidRPr="0020224B">
        <w:t xml:space="preserve">original Pasteur rabies vaccine (prepared in </w:t>
      </w:r>
      <w:r w:rsidRPr="0020224B">
        <w:rPr>
          <w:i/>
          <w:iCs/>
        </w:rPr>
        <w:t>rabbit spinal cord</w:t>
      </w:r>
      <w:r w:rsidRPr="0020224B">
        <w:t xml:space="preserve"> - was contaminated with CNS tissue) had ADEM incidence 1 per 3,000-35,000 vaccinations.</w:t>
      </w:r>
    </w:p>
    <w:p w:rsidR="00F7701E" w:rsidRPr="0020224B" w:rsidRDefault="00F7701E">
      <w:pPr>
        <w:pStyle w:val="NormalWeb"/>
        <w:numPr>
          <w:ilvl w:val="3"/>
          <w:numId w:val="5"/>
        </w:numPr>
      </w:pPr>
      <w:r w:rsidRPr="0020224B">
        <w:t xml:space="preserve">use of </w:t>
      </w:r>
      <w:r w:rsidRPr="0020224B">
        <w:rPr>
          <w:i/>
          <w:iCs/>
        </w:rPr>
        <w:t>human diploid cell lines</w:t>
      </w:r>
      <w:r w:rsidRPr="0020224B">
        <w:t xml:space="preserve"> (contain no nervous system tissue) for production of rabies vaccine has virtually eliminated risk of ADEM.</w:t>
      </w:r>
    </w:p>
    <w:p w:rsidR="00F7701E" w:rsidRPr="0020224B" w:rsidRDefault="00F7701E">
      <w:pPr>
        <w:pStyle w:val="NormalWeb"/>
      </w:pPr>
    </w:p>
    <w:p w:rsidR="00F7701E" w:rsidRPr="0020224B" w:rsidRDefault="00F7701E">
      <w:pPr>
        <w:pStyle w:val="NormalWeb"/>
        <w:numPr>
          <w:ilvl w:val="1"/>
          <w:numId w:val="1"/>
        </w:numPr>
      </w:pPr>
      <w:r w:rsidRPr="0020224B">
        <w:rPr>
          <w:b/>
          <w:bCs/>
          <w:smallCaps/>
          <w:highlight w:val="yellow"/>
        </w:rPr>
        <w:t>infections</w:t>
      </w:r>
      <w:r w:rsidRPr="0020224B">
        <w:rPr>
          <w:szCs w:val="20"/>
        </w:rPr>
        <w:t xml:space="preserve"> - </w:t>
      </w:r>
      <w:r w:rsidRPr="0020224B">
        <w:rPr>
          <w:b/>
          <w:bCs/>
          <w:smallCaps/>
          <w:color w:val="0000FF"/>
          <w:szCs w:val="20"/>
        </w:rPr>
        <w:t xml:space="preserve">postinfectious </w:t>
      </w:r>
      <w:r w:rsidR="002D568D" w:rsidRPr="0020224B">
        <w:rPr>
          <w:b/>
          <w:bCs/>
          <w:color w:val="0000FF"/>
          <w:szCs w:val="20"/>
        </w:rPr>
        <w:t>(s.</w:t>
      </w:r>
      <w:r w:rsidR="002D568D" w:rsidRPr="0020224B">
        <w:rPr>
          <w:b/>
          <w:bCs/>
          <w:smallCaps/>
          <w:color w:val="0000FF"/>
          <w:szCs w:val="20"/>
        </w:rPr>
        <w:t xml:space="preserve"> parainfectious) </w:t>
      </w:r>
      <w:r w:rsidRPr="0020224B">
        <w:rPr>
          <w:b/>
          <w:bCs/>
          <w:smallCaps/>
          <w:color w:val="0000FF"/>
          <w:szCs w:val="20"/>
        </w:rPr>
        <w:t>encephalomyelitis</w:t>
      </w:r>
    </w:p>
    <w:p w:rsidR="00F7701E" w:rsidRPr="0020224B" w:rsidRDefault="00F7701E">
      <w:pPr>
        <w:pStyle w:val="NormalWeb"/>
        <w:numPr>
          <w:ilvl w:val="0"/>
          <w:numId w:val="8"/>
        </w:numPr>
      </w:pPr>
      <w:r w:rsidRPr="0020224B">
        <w:t xml:space="preserve">most commonly </w:t>
      </w:r>
      <w:r w:rsidRPr="0020224B">
        <w:rPr>
          <w:i/>
          <w:iCs/>
          <w:color w:val="FF0000"/>
        </w:rPr>
        <w:t>nonspecific upper respiratory tract infection</w:t>
      </w:r>
      <w:r w:rsidRPr="0020224B">
        <w:t>.</w:t>
      </w:r>
    </w:p>
    <w:p w:rsidR="00F7701E" w:rsidRPr="0020224B" w:rsidRDefault="00F7701E">
      <w:pPr>
        <w:pStyle w:val="NormalWeb"/>
        <w:numPr>
          <w:ilvl w:val="0"/>
          <w:numId w:val="8"/>
        </w:numPr>
      </w:pPr>
      <w:r w:rsidRPr="0020224B">
        <w:rPr>
          <w:i/>
          <w:iCs/>
          <w:color w:val="FF0000"/>
        </w:rPr>
        <w:t>measles</w:t>
      </w:r>
      <w:r w:rsidRPr="0020224B">
        <w:t xml:space="preserve"> </w:t>
      </w:r>
      <w:r w:rsidR="00D3060A" w:rsidRPr="0020224B">
        <w:t xml:space="preserve">carries highest risk (1 per </w:t>
      </w:r>
      <w:r w:rsidRPr="0020224B">
        <w:t>1,000 cases) for ADEM among specific infections; now measles-related ADEM is rare (</w:t>
      </w:r>
      <w:r w:rsidRPr="0020224B">
        <w:rPr>
          <w:szCs w:val="20"/>
        </w:rPr>
        <w:t>ADEM is now most frequently associated with varicella-chickenpox infections).</w:t>
      </w:r>
    </w:p>
    <w:p w:rsidR="00F7701E" w:rsidRPr="0020224B" w:rsidRDefault="00F7701E">
      <w:pPr>
        <w:pStyle w:val="NormalWeb"/>
      </w:pPr>
    </w:p>
    <w:p w:rsidR="00F7701E" w:rsidRPr="0020224B" w:rsidRDefault="00F7701E">
      <w:pPr>
        <w:pStyle w:val="NormalWeb"/>
      </w:pPr>
    </w:p>
    <w:p w:rsidR="00F7701E" w:rsidRPr="0020224B" w:rsidRDefault="00F7701E">
      <w:pPr>
        <w:pStyle w:val="Nervous1"/>
      </w:pPr>
      <w:r w:rsidRPr="0020224B">
        <w:t>Epidemiology</w:t>
      </w:r>
    </w:p>
    <w:p w:rsidR="00F7701E" w:rsidRPr="0020224B" w:rsidRDefault="00F7701E">
      <w:pPr>
        <w:pStyle w:val="NormalWeb"/>
        <w:numPr>
          <w:ilvl w:val="0"/>
          <w:numId w:val="1"/>
        </w:numPr>
      </w:pPr>
      <w:r w:rsidRPr="0020224B">
        <w:t xml:space="preserve">any age but most common during </w:t>
      </w:r>
      <w:r w:rsidRPr="0020224B">
        <w:rPr>
          <w:b/>
          <w:bCs/>
          <w:highlight w:val="yellow"/>
        </w:rPr>
        <w:t>childhood</w:t>
      </w:r>
      <w:r w:rsidRPr="0020224B">
        <w:t xml:space="preserve"> – 80% cases during 1</w:t>
      </w:r>
      <w:r w:rsidRPr="0020224B">
        <w:rPr>
          <w:vertAlign w:val="superscript"/>
        </w:rPr>
        <w:t>st</w:t>
      </w:r>
      <w:r w:rsidRPr="0020224B">
        <w:t xml:space="preserve"> decade, &lt; 20% - during 2</w:t>
      </w:r>
      <w:r w:rsidRPr="0020224B">
        <w:rPr>
          <w:vertAlign w:val="superscript"/>
        </w:rPr>
        <w:t>nd</w:t>
      </w:r>
      <w:r w:rsidRPr="0020224B">
        <w:t xml:space="preserve"> decade (i.e. earlier than MS), &lt; 3% - adulthood.</w:t>
      </w:r>
    </w:p>
    <w:p w:rsidR="00F7701E" w:rsidRPr="0020224B" w:rsidRDefault="00F7701E">
      <w:pPr>
        <w:pStyle w:val="NormalWeb"/>
        <w:numPr>
          <w:ilvl w:val="0"/>
          <w:numId w:val="1"/>
        </w:numPr>
      </w:pPr>
      <w:r w:rsidRPr="0020224B">
        <w:rPr>
          <w:smallCaps/>
        </w:rPr>
        <w:t>incidence</w:t>
      </w:r>
      <w:r w:rsidRPr="0020224B">
        <w:t xml:space="preserve"> during first-decade ≈ 3 cases per 100,000.</w:t>
      </w:r>
    </w:p>
    <w:p w:rsidR="00F7701E" w:rsidRPr="0020224B" w:rsidRDefault="00F7701E">
      <w:pPr>
        <w:pStyle w:val="NormalWeb"/>
        <w:numPr>
          <w:ilvl w:val="0"/>
          <w:numId w:val="1"/>
        </w:numPr>
      </w:pPr>
      <w:r w:rsidRPr="0020224B">
        <w:t>cases occur in all regions of world.</w:t>
      </w:r>
    </w:p>
    <w:p w:rsidR="00F7701E" w:rsidRPr="0020224B" w:rsidRDefault="00F7701E">
      <w:pPr>
        <w:pStyle w:val="NormalWeb"/>
        <w:numPr>
          <w:ilvl w:val="0"/>
          <w:numId w:val="1"/>
        </w:numPr>
      </w:pPr>
      <w:r w:rsidRPr="0020224B">
        <w:t>males = females.</w:t>
      </w:r>
    </w:p>
    <w:p w:rsidR="00F7701E" w:rsidRPr="0020224B" w:rsidRDefault="00F7701E">
      <w:pPr>
        <w:pStyle w:val="NormalWeb"/>
      </w:pPr>
    </w:p>
    <w:p w:rsidR="00F7701E" w:rsidRPr="0020224B" w:rsidRDefault="00F7701E">
      <w:pPr>
        <w:pStyle w:val="NormalWeb"/>
      </w:pPr>
    </w:p>
    <w:p w:rsidR="00F7701E" w:rsidRPr="0020224B" w:rsidRDefault="00F7701E">
      <w:pPr>
        <w:pStyle w:val="Nervous1"/>
      </w:pPr>
      <w:r w:rsidRPr="0020224B">
        <w:t>Clinical Features</w:t>
      </w:r>
    </w:p>
    <w:p w:rsidR="00F7701E" w:rsidRPr="0020224B" w:rsidRDefault="00F7701E">
      <w:pPr>
        <w:pStyle w:val="NormalWeb"/>
        <w:numPr>
          <w:ilvl w:val="2"/>
          <w:numId w:val="1"/>
        </w:numPr>
      </w:pPr>
      <w:r w:rsidRPr="0020224B">
        <w:t xml:space="preserve">parainfectious ADEM usually </w:t>
      </w:r>
      <w:r w:rsidRPr="0020224B">
        <w:rPr>
          <w:i/>
          <w:iCs/>
          <w:color w:val="0000FF"/>
        </w:rPr>
        <w:t>follows onset</w:t>
      </w:r>
      <w:r w:rsidRPr="0020224B">
        <w:t xml:space="preserve"> of infectious illness (often during recovery), but because of latency of some pathogens ADEM </w:t>
      </w:r>
      <w:r w:rsidRPr="0020224B">
        <w:rPr>
          <w:i/>
          <w:iCs/>
          <w:color w:val="0000FF"/>
        </w:rPr>
        <w:t>may precede</w:t>
      </w:r>
      <w:r w:rsidRPr="0020224B">
        <w:t xml:space="preserve"> clinical symptoms of infection or two may </w:t>
      </w:r>
      <w:r w:rsidRPr="0020224B">
        <w:rPr>
          <w:i/>
          <w:iCs/>
          <w:color w:val="0000FF"/>
        </w:rPr>
        <w:t>occur simultaneously</w:t>
      </w:r>
      <w:r w:rsidRPr="0020224B">
        <w:t>.</w:t>
      </w:r>
    </w:p>
    <w:p w:rsidR="00F7701E" w:rsidRPr="0020224B" w:rsidRDefault="00F7701E">
      <w:pPr>
        <w:pStyle w:val="NormalWeb"/>
      </w:pPr>
    </w:p>
    <w:p w:rsidR="00F7701E" w:rsidRPr="0020224B" w:rsidRDefault="00F7701E">
      <w:pPr>
        <w:pStyle w:val="NormalWeb"/>
      </w:pPr>
      <w:r w:rsidRPr="0020224B">
        <w:rPr>
          <w:b/>
          <w:bCs/>
          <w:color w:val="FF0000"/>
        </w:rPr>
        <w:t xml:space="preserve">Viral </w:t>
      </w:r>
      <w:r w:rsidRPr="0020224B">
        <w:rPr>
          <w:b/>
          <w:bCs/>
          <w:smallCaps/>
          <w:color w:val="FF0000"/>
        </w:rPr>
        <w:t>prodrome</w:t>
      </w:r>
      <w:r w:rsidRPr="0020224B">
        <w:t xml:space="preserve"> (few days) - headache, low-grade fever, myalgias, malaise.</w:t>
      </w:r>
    </w:p>
    <w:p w:rsidR="00F7701E" w:rsidRPr="0020224B" w:rsidRDefault="00F7701E">
      <w:pPr>
        <w:pStyle w:val="NormalWeb"/>
        <w:ind w:left="1440"/>
      </w:pPr>
      <w:r w:rsidRPr="0020224B">
        <w:t>Prodrome absent in MS! Also absent in 7-15% ADEM cases!</w:t>
      </w:r>
    </w:p>
    <w:p w:rsidR="00F7701E" w:rsidRPr="0020224B" w:rsidRDefault="00F7701E">
      <w:pPr>
        <w:pStyle w:val="NormalWeb"/>
        <w:numPr>
          <w:ilvl w:val="2"/>
          <w:numId w:val="7"/>
        </w:numPr>
      </w:pPr>
      <w:r w:rsidRPr="0020224B">
        <w:t>hiatus between onset of viral prodrome and onset of ADEM may range 2-30 days.</w:t>
      </w:r>
    </w:p>
    <w:p w:rsidR="00F7701E" w:rsidRPr="0020224B" w:rsidRDefault="00F7701E">
      <w:pPr>
        <w:pStyle w:val="NormalWeb"/>
        <w:numPr>
          <w:ilvl w:val="2"/>
          <w:numId w:val="7"/>
        </w:numPr>
      </w:pPr>
      <w:r w:rsidRPr="0020224B">
        <w:t>prodrome and ADEM are typically separated by phase of recovery from fever and other constitutional manifestations.</w:t>
      </w:r>
    </w:p>
    <w:p w:rsidR="00F7701E" w:rsidRPr="0020224B" w:rsidRDefault="00F7701E">
      <w:pPr>
        <w:pStyle w:val="NormalWeb"/>
        <w:rPr>
          <w:i/>
          <w:iCs/>
          <w:color w:val="FF0000"/>
        </w:rPr>
      </w:pPr>
    </w:p>
    <w:p w:rsidR="00F7701E" w:rsidRPr="0020224B" w:rsidRDefault="00F7701E">
      <w:pPr>
        <w:pStyle w:val="NormalWeb"/>
      </w:pPr>
      <w:r w:rsidRPr="0020224B">
        <w:rPr>
          <w:i/>
          <w:iCs/>
          <w:color w:val="FF0000"/>
        </w:rPr>
        <w:t>Neurological symptoms develop very rapidly</w:t>
      </w:r>
      <w:r w:rsidRPr="0020224B">
        <w:t xml:space="preserve"> (hours ÷ several days*) - irritability and lethargy, </w:t>
      </w:r>
      <w:r w:rsidR="00C75440" w:rsidRPr="0020224B">
        <w:t>delirium (</w:t>
      </w:r>
      <w:r w:rsidRPr="0020224B">
        <w:t>encephalopathy of varied degree</w:t>
      </w:r>
      <w:r w:rsidR="00C75440" w:rsidRPr="0020224B">
        <w:t>)</w:t>
      </w:r>
      <w:r w:rsidRPr="0020224B">
        <w:t>, changes in mental status up to coma (88%), headache (55%), focal or generalized seizur</w:t>
      </w:r>
      <w:r w:rsidR="009F4395" w:rsidRPr="0020224B">
        <w:t>es (25%), meningismus (25%).</w:t>
      </w:r>
      <w:r w:rsidR="009F4395" w:rsidRPr="0020224B">
        <w:tab/>
      </w:r>
      <w:r w:rsidR="009F4395" w:rsidRPr="0020224B">
        <w:tab/>
      </w:r>
      <w:r w:rsidRPr="0020224B">
        <w:t>*rarely up to 6 weeks</w:t>
      </w:r>
    </w:p>
    <w:p w:rsidR="00F7701E" w:rsidRPr="0020224B" w:rsidRDefault="00F7701E" w:rsidP="009F4395">
      <w:pPr>
        <w:pStyle w:val="NormalWeb"/>
        <w:ind w:left="2160"/>
      </w:pPr>
      <w:r w:rsidRPr="0020224B">
        <w:rPr>
          <w:rStyle w:val="Nervous9Char"/>
        </w:rPr>
        <w:lastRenderedPageBreak/>
        <w:t>Prominence of cortical signs</w:t>
      </w:r>
      <w:r w:rsidRPr="0020224B">
        <w:t>! (vs. MS)</w:t>
      </w:r>
    </w:p>
    <w:p w:rsidR="00F7701E" w:rsidRPr="0020224B" w:rsidRDefault="00F7701E">
      <w:pPr>
        <w:pStyle w:val="NormalWeb"/>
        <w:numPr>
          <w:ilvl w:val="2"/>
          <w:numId w:val="1"/>
        </w:numPr>
      </w:pPr>
      <w:r w:rsidRPr="0020224B">
        <w:t>fever returns in ≈ 50% cases.</w:t>
      </w:r>
    </w:p>
    <w:p w:rsidR="00F7701E" w:rsidRPr="0020224B" w:rsidRDefault="00F7701E">
      <w:pPr>
        <w:pStyle w:val="NormalWeb"/>
        <w:numPr>
          <w:ilvl w:val="2"/>
          <w:numId w:val="1"/>
        </w:numPr>
      </w:pPr>
      <w:r w:rsidRPr="0020224B">
        <w:t xml:space="preserve">variety of </w:t>
      </w:r>
      <w:r w:rsidRPr="0020224B">
        <w:rPr>
          <w:b/>
          <w:bCs/>
        </w:rPr>
        <w:t>multifocal neurological manifestations</w:t>
      </w:r>
      <w:r w:rsidRPr="0020224B">
        <w:t xml:space="preserve"> (brain, brain stem, cerebellum, optic nerves, spinal cord).</w:t>
      </w:r>
    </w:p>
    <w:p w:rsidR="00F7701E" w:rsidRPr="0020224B" w:rsidRDefault="00F7701E">
      <w:pPr>
        <w:pStyle w:val="NormalWeb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EB4F9"/>
        <w:spacing w:before="120" w:after="120"/>
        <w:ind w:left="720" w:right="3827"/>
      </w:pPr>
      <w:r w:rsidRPr="0020224B">
        <w:t>ADEM - classically</w:t>
      </w:r>
      <w:r w:rsidRPr="0020224B">
        <w:rPr>
          <w:b/>
          <w:bCs/>
        </w:rPr>
        <w:t xml:space="preserve"> multifocal</w:t>
      </w:r>
      <w:r w:rsidRPr="0020224B">
        <w:t xml:space="preserve"> involvement at onset; vs. MS often presents with </w:t>
      </w:r>
      <w:r w:rsidRPr="0020224B">
        <w:rPr>
          <w:b/>
          <w:bCs/>
        </w:rPr>
        <w:t>monosymptomatic</w:t>
      </w:r>
      <w:r w:rsidRPr="0020224B">
        <w:t xml:space="preserve"> deficits.</w:t>
      </w:r>
    </w:p>
    <w:p w:rsidR="00F7701E" w:rsidRPr="0020224B" w:rsidRDefault="00F7701E">
      <w:pPr>
        <w:pStyle w:val="NormalWeb"/>
        <w:numPr>
          <w:ilvl w:val="0"/>
          <w:numId w:val="6"/>
        </w:numPr>
      </w:pPr>
      <w:r w:rsidRPr="0020224B">
        <w:t>ADEM-associated optic neuritis is usually bilateral (vs. MS).</w:t>
      </w:r>
    </w:p>
    <w:p w:rsidR="00F7701E" w:rsidRPr="0020224B" w:rsidRDefault="00F7701E">
      <w:pPr>
        <w:pStyle w:val="NormalWeb"/>
        <w:numPr>
          <w:ilvl w:val="2"/>
          <w:numId w:val="1"/>
        </w:numPr>
      </w:pPr>
      <w:r w:rsidRPr="0020224B">
        <w:t>peak severity occurs within several days → recovery begins soon afterward.</w:t>
      </w:r>
    </w:p>
    <w:p w:rsidR="00F7701E" w:rsidRPr="0020224B" w:rsidRDefault="00F7701E">
      <w:pPr>
        <w:pStyle w:val="NormalWeb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CFEB4"/>
        <w:spacing w:before="120" w:after="120"/>
        <w:ind w:left="720" w:right="2834"/>
      </w:pPr>
      <w:r w:rsidRPr="0020224B">
        <w:t xml:space="preserve">ADEM is typically </w:t>
      </w:r>
      <w:r w:rsidRPr="0020224B">
        <w:rPr>
          <w:i/>
          <w:iCs/>
        </w:rPr>
        <w:t>monophasic</w:t>
      </w:r>
      <w:r w:rsidRPr="0020224B">
        <w:t xml:space="preserve"> disease of </w:t>
      </w:r>
      <w:r w:rsidRPr="0020224B">
        <w:rPr>
          <w:b/>
          <w:bCs/>
        </w:rPr>
        <w:t>prepubertal children</w:t>
      </w:r>
      <w:r w:rsidRPr="0020224B">
        <w:t xml:space="preserve">; vs. MS is chronic </w:t>
      </w:r>
      <w:r w:rsidRPr="0020224B">
        <w:rPr>
          <w:i/>
          <w:iCs/>
        </w:rPr>
        <w:t>relapsing-remitting</w:t>
      </w:r>
      <w:r w:rsidRPr="0020224B">
        <w:t xml:space="preserve"> disease of </w:t>
      </w:r>
      <w:r w:rsidRPr="0020224B">
        <w:rPr>
          <w:b/>
          <w:bCs/>
        </w:rPr>
        <w:t>young adults</w:t>
      </w:r>
      <w:r w:rsidRPr="0020224B">
        <w:t>.</w:t>
      </w:r>
    </w:p>
    <w:p w:rsidR="00F7701E" w:rsidRPr="0020224B" w:rsidRDefault="00F7701E">
      <w:pPr>
        <w:pStyle w:val="NormalWeb"/>
      </w:pPr>
    </w:p>
    <w:p w:rsidR="00F7701E" w:rsidRPr="0020224B" w:rsidRDefault="00F7701E">
      <w:pPr>
        <w:pStyle w:val="NormalWeb"/>
      </w:pPr>
    </w:p>
    <w:p w:rsidR="00F7701E" w:rsidRPr="0020224B" w:rsidRDefault="00F7701E">
      <w:pPr>
        <w:pStyle w:val="Nervous1"/>
      </w:pPr>
      <w:r w:rsidRPr="0020224B">
        <w:t>Diagnosis</w:t>
      </w:r>
    </w:p>
    <w:p w:rsidR="00F7701E" w:rsidRPr="0020224B" w:rsidRDefault="00F7701E">
      <w:pPr>
        <w:pStyle w:val="NormalWeb"/>
        <w:ind w:left="142" w:hanging="142"/>
      </w:pPr>
      <w:r w:rsidRPr="0020224B">
        <w:rPr>
          <w:b/>
          <w:bCs/>
          <w:color w:val="0000FF"/>
        </w:rPr>
        <w:t>CSF</w:t>
      </w:r>
      <w:r w:rsidRPr="0020224B">
        <w:t xml:space="preserve"> – although </w:t>
      </w:r>
      <w:r w:rsidRPr="0020224B">
        <w:rPr>
          <w:b/>
          <w:bCs/>
          <w:i/>
          <w:iCs/>
        </w:rPr>
        <w:t>oligoclonal IgG bands</w:t>
      </w:r>
      <w:r w:rsidRPr="0020224B">
        <w:t xml:space="preserve"> occur transiently in 1/3 cases, their persistence implies diagnosis of MS!</w:t>
      </w:r>
    </w:p>
    <w:p w:rsidR="00F7701E" w:rsidRPr="0020224B" w:rsidRDefault="00F7701E">
      <w:pPr>
        <w:pStyle w:val="NormalWeb"/>
        <w:numPr>
          <w:ilvl w:val="0"/>
          <w:numId w:val="3"/>
        </w:numPr>
      </w:pPr>
      <w:r w:rsidRPr="0020224B">
        <w:t>subsequent disappearance of bands is evidence against MS.</w:t>
      </w:r>
    </w:p>
    <w:p w:rsidR="00F7701E" w:rsidRPr="0020224B" w:rsidRDefault="00F7701E">
      <w:pPr>
        <w:pStyle w:val="NormalWeb"/>
        <w:numPr>
          <w:ilvl w:val="0"/>
          <w:numId w:val="3"/>
        </w:numPr>
      </w:pPr>
      <w:r w:rsidRPr="0020224B">
        <w:rPr>
          <w:b/>
          <w:bCs/>
          <w:i/>
          <w:iCs/>
        </w:rPr>
        <w:t>myelin basic protein</w:t>
      </w:r>
      <w:r w:rsidRPr="0020224B">
        <w:t xml:space="preserve"> concentration↑ (reflects demyelination).</w:t>
      </w:r>
    </w:p>
    <w:p w:rsidR="00F7701E" w:rsidRPr="0020224B" w:rsidRDefault="00F7701E">
      <w:pPr>
        <w:pStyle w:val="NormalWeb"/>
        <w:numPr>
          <w:ilvl w:val="0"/>
          <w:numId w:val="3"/>
        </w:numPr>
      </w:pPr>
      <w:r w:rsidRPr="0020224B">
        <w:rPr>
          <w:b/>
          <w:bCs/>
          <w:i/>
          <w:iCs/>
        </w:rPr>
        <w:t>mononuclear pleocytosis</w:t>
      </w:r>
      <w:r w:rsidRPr="0020224B">
        <w:rPr>
          <w:szCs w:val="15"/>
        </w:rPr>
        <w:t xml:space="preserve"> of 20-200 cells/mm</w:t>
      </w:r>
      <w:r w:rsidRPr="0020224B">
        <w:rPr>
          <w:vertAlign w:val="superscript"/>
        </w:rPr>
        <w:t>3</w:t>
      </w:r>
      <w:r w:rsidRPr="0020224B">
        <w:t>.</w:t>
      </w:r>
    </w:p>
    <w:p w:rsidR="00F7701E" w:rsidRPr="0020224B" w:rsidRDefault="00F7701E">
      <w:pPr>
        <w:pStyle w:val="NormalWeb"/>
        <w:spacing w:before="120"/>
        <w:ind w:left="142" w:hanging="142"/>
      </w:pPr>
      <w:r w:rsidRPr="0020224B">
        <w:rPr>
          <w:b/>
          <w:bCs/>
          <w:color w:val="0000FF"/>
        </w:rPr>
        <w:t xml:space="preserve">MRI </w:t>
      </w:r>
      <w:r w:rsidRPr="0020224B">
        <w:t>– identical to MS (basal ganglia or cortical lesions, large globular white matter lesions are more frequent in ADEM; 90% ADEM lesions disappear with time).</w:t>
      </w:r>
    </w:p>
    <w:p w:rsidR="00F7701E" w:rsidRPr="0020224B" w:rsidRDefault="00F7701E">
      <w:pPr>
        <w:pStyle w:val="NormalWeb"/>
        <w:numPr>
          <w:ilvl w:val="0"/>
          <w:numId w:val="3"/>
        </w:numPr>
      </w:pPr>
      <w:r w:rsidRPr="0020224B">
        <w:t xml:space="preserve">characteristic centrifugal </w:t>
      </w:r>
      <w:r w:rsidRPr="0020224B">
        <w:rPr>
          <w:b/>
          <w:color w:val="FF00FF"/>
        </w:rPr>
        <w:t>“cotton-ball”</w:t>
      </w:r>
      <w:r w:rsidRPr="0020224B">
        <w:t xml:space="preserve"> lesions at </w:t>
      </w:r>
      <w:r w:rsidRPr="0020224B">
        <w:rPr>
          <w:i/>
          <w:iCs/>
        </w:rPr>
        <w:t>junction of deep cortical gray and subcortical white matter</w:t>
      </w:r>
      <w:r w:rsidRPr="0020224B">
        <w:t xml:space="preserve"> are found in 90% cases.</w:t>
      </w:r>
    </w:p>
    <w:p w:rsidR="00F7701E" w:rsidRPr="0020224B" w:rsidRDefault="00F7701E">
      <w:pPr>
        <w:pStyle w:val="NormalWeb"/>
        <w:numPr>
          <w:ilvl w:val="0"/>
          <w:numId w:val="3"/>
        </w:numPr>
      </w:pPr>
      <w:r w:rsidRPr="0020224B">
        <w:t xml:space="preserve">classically </w:t>
      </w:r>
      <w:r w:rsidRPr="0020224B">
        <w:rPr>
          <w:i/>
          <w:iCs/>
          <w:color w:val="FF0000"/>
        </w:rPr>
        <w:t>all</w:t>
      </w:r>
      <w:r w:rsidRPr="0020224B">
        <w:t xml:space="preserve"> </w:t>
      </w:r>
      <w:r w:rsidRPr="0020224B">
        <w:rPr>
          <w:i/>
          <w:iCs/>
          <w:color w:val="FF0000"/>
        </w:rPr>
        <w:t>ADEM lesions develop simultaneously</w:t>
      </w:r>
      <w:r w:rsidRPr="0020224B">
        <w:t>! (90% lesions enhance with gadolinium – i.e. all lesions are acute monophasic)</w:t>
      </w:r>
    </w:p>
    <w:p w:rsidR="00F7701E" w:rsidRPr="0020224B" w:rsidRDefault="00F7701E">
      <w:pPr>
        <w:pStyle w:val="NormalWeb"/>
        <w:spacing w:before="120"/>
      </w:pPr>
      <w:r w:rsidRPr="0020224B">
        <w:rPr>
          <w:b/>
          <w:bCs/>
          <w:color w:val="0000FF"/>
        </w:rPr>
        <w:t>Blood</w:t>
      </w:r>
      <w:r w:rsidRPr="0020224B">
        <w:t xml:space="preserve"> - platelet counts↑, ESR mildly elevated (greater elevation suggests vasculitis or infection).</w:t>
      </w:r>
    </w:p>
    <w:p w:rsidR="00F7701E" w:rsidRPr="0020224B" w:rsidRDefault="00F7701E">
      <w:pPr>
        <w:pStyle w:val="NormalWeb"/>
        <w:spacing w:before="120"/>
      </w:pPr>
      <w:r w:rsidRPr="0020224B">
        <w:rPr>
          <w:b/>
          <w:bCs/>
          <w:color w:val="0000FF"/>
        </w:rPr>
        <w:t>EEG</w:t>
      </w:r>
      <w:r w:rsidRPr="0020224B">
        <w:rPr>
          <w:szCs w:val="15"/>
        </w:rPr>
        <w:t xml:space="preserve"> - widespread slowing of background rhythms.</w:t>
      </w:r>
    </w:p>
    <w:p w:rsidR="00F7701E" w:rsidRPr="0020224B" w:rsidRDefault="00F7701E">
      <w:pPr>
        <w:pStyle w:val="NormalWeb"/>
      </w:pPr>
    </w:p>
    <w:p w:rsidR="00F7701E" w:rsidRPr="0020224B" w:rsidRDefault="00F7701E">
      <w:pPr>
        <w:pStyle w:val="NormalWeb"/>
      </w:pPr>
    </w:p>
    <w:p w:rsidR="00F7701E" w:rsidRPr="0020224B" w:rsidRDefault="00F7701E">
      <w:pPr>
        <w:pStyle w:val="Nervous1"/>
      </w:pPr>
      <w:r w:rsidRPr="0020224B">
        <w:t>Treatment</w:t>
      </w:r>
    </w:p>
    <w:p w:rsidR="00F7701E" w:rsidRPr="0020224B" w:rsidRDefault="00F7701E">
      <w:pPr>
        <w:pStyle w:val="NormalWeb"/>
        <w:numPr>
          <w:ilvl w:val="0"/>
          <w:numId w:val="2"/>
        </w:numPr>
      </w:pPr>
      <w:r w:rsidRPr="0020224B">
        <w:t xml:space="preserve">IV </w:t>
      </w:r>
      <w:r w:rsidRPr="00C4239C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methylprednisolone</w:t>
      </w:r>
      <w:r w:rsidRPr="0020224B">
        <w:t xml:space="preserve"> 20 mg/kg/d (maximum 1 g/d) for 3-5 days → oral taper for 3 weeks</w:t>
      </w:r>
    </w:p>
    <w:p w:rsidR="00F7701E" w:rsidRPr="0020224B" w:rsidRDefault="00F7701E">
      <w:pPr>
        <w:pStyle w:val="NormalWeb"/>
        <w:numPr>
          <w:ilvl w:val="1"/>
          <w:numId w:val="2"/>
        </w:numPr>
      </w:pPr>
      <w:r w:rsidRPr="0020224B">
        <w:t>improvement usually requires several days.</w:t>
      </w:r>
    </w:p>
    <w:p w:rsidR="00F7701E" w:rsidRPr="0020224B" w:rsidRDefault="00F7701E">
      <w:pPr>
        <w:pStyle w:val="NormalWeb"/>
        <w:numPr>
          <w:ilvl w:val="0"/>
          <w:numId w:val="2"/>
        </w:numPr>
      </w:pPr>
      <w:r w:rsidRPr="00C4239C">
        <w:rPr>
          <w:bC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IVIg </w:t>
      </w:r>
      <w:r w:rsidRPr="0020224B">
        <w:t>2 g/kg for 2-3 days - preferable when meningo-encephalitis cannot be excluded.</w:t>
      </w:r>
    </w:p>
    <w:p w:rsidR="00F7701E" w:rsidRPr="0020224B" w:rsidRDefault="00F7701E">
      <w:pPr>
        <w:pStyle w:val="NormalWeb"/>
        <w:numPr>
          <w:ilvl w:val="0"/>
          <w:numId w:val="2"/>
        </w:numPr>
      </w:pPr>
      <w:r w:rsidRPr="00C4239C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plasma exchange</w:t>
      </w:r>
      <w:r w:rsidRPr="0020224B">
        <w:t xml:space="preserve"> for severe deficits and little response to corticosteroids.</w:t>
      </w:r>
    </w:p>
    <w:p w:rsidR="00F7701E" w:rsidRPr="0020224B" w:rsidRDefault="00F7701E" w:rsidP="003473EA"/>
    <w:p w:rsidR="00F7701E" w:rsidRPr="0020224B" w:rsidRDefault="00F7701E" w:rsidP="003473EA"/>
    <w:p w:rsidR="00F7701E" w:rsidRPr="0020224B" w:rsidRDefault="00F7701E">
      <w:pPr>
        <w:pStyle w:val="Nervous1"/>
      </w:pPr>
      <w:r w:rsidRPr="0020224B">
        <w:t>Prognosis</w:t>
      </w:r>
    </w:p>
    <w:p w:rsidR="00F7701E" w:rsidRPr="0020224B" w:rsidRDefault="00F7701E">
      <w:pPr>
        <w:pStyle w:val="NormalWeb"/>
        <w:numPr>
          <w:ilvl w:val="0"/>
          <w:numId w:val="1"/>
        </w:numPr>
      </w:pPr>
      <w:r w:rsidRPr="0020224B">
        <w:t xml:space="preserve">mortality &lt; 2% (esp. </w:t>
      </w:r>
      <w:r w:rsidRPr="0020224B">
        <w:rPr>
          <w:i/>
          <w:iCs/>
          <w:color w:val="FF0000"/>
        </w:rPr>
        <w:t>measles-associated ADEM</w:t>
      </w:r>
      <w:r w:rsidRPr="0020224B">
        <w:t>).</w:t>
      </w:r>
    </w:p>
    <w:p w:rsidR="00F7701E" w:rsidRPr="0020224B" w:rsidRDefault="00F7701E">
      <w:pPr>
        <w:pStyle w:val="NormalWeb"/>
        <w:numPr>
          <w:ilvl w:val="2"/>
          <w:numId w:val="1"/>
        </w:numPr>
      </w:pPr>
      <w:r w:rsidRPr="0020224B">
        <w:t xml:space="preserve">50-90% survivors have </w:t>
      </w:r>
      <w:r w:rsidRPr="0020224B">
        <w:rPr>
          <w:b/>
          <w:bCs/>
          <w:color w:val="008000"/>
        </w:rPr>
        <w:t>marked recovery</w:t>
      </w:r>
      <w:r w:rsidRPr="0020224B">
        <w:t xml:space="preserve"> (complete recovery may be observed even in children who become blind, comatose, and quadriparetic).</w:t>
      </w:r>
    </w:p>
    <w:p w:rsidR="00F7701E" w:rsidRPr="0020224B" w:rsidRDefault="00F7701E">
      <w:pPr>
        <w:pStyle w:val="NormalWeb"/>
        <w:ind w:left="1440"/>
      </w:pPr>
      <w:r w:rsidRPr="0020224B">
        <w:rPr>
          <w:u w:val="single"/>
        </w:rPr>
        <w:t>risk factors for bad recovery</w:t>
      </w:r>
      <w:r w:rsidRPr="0020224B">
        <w:t>: age &lt; 2 yrs, transverse myelitis.</w:t>
      </w:r>
    </w:p>
    <w:p w:rsidR="00F7701E" w:rsidRPr="0020224B" w:rsidRDefault="00F7701E">
      <w:pPr>
        <w:pStyle w:val="NormalWeb"/>
        <w:numPr>
          <w:ilvl w:val="2"/>
          <w:numId w:val="1"/>
        </w:numPr>
      </w:pPr>
      <w:r w:rsidRPr="0020224B">
        <w:t xml:space="preserve">long-term (10-y follow-up) </w:t>
      </w:r>
      <w:r w:rsidRPr="0020224B">
        <w:rPr>
          <w:b/>
          <w:bCs/>
          <w:i/>
          <w:iCs/>
        </w:rPr>
        <w:t>risk for development of MS</w:t>
      </w:r>
      <w:r w:rsidRPr="0020224B">
        <w:t xml:space="preserve"> - 25%.</w:t>
      </w:r>
    </w:p>
    <w:p w:rsidR="00F7701E" w:rsidRDefault="00F7701E" w:rsidP="003473EA"/>
    <w:p w:rsidR="0069042F" w:rsidRDefault="0069042F" w:rsidP="003473EA"/>
    <w:p w:rsidR="0069042F" w:rsidRPr="0020224B" w:rsidRDefault="0069042F" w:rsidP="003473EA"/>
    <w:p w:rsidR="004B1E55" w:rsidRPr="0020224B" w:rsidRDefault="004B1E55" w:rsidP="003473EA"/>
    <w:p w:rsidR="00F7701E" w:rsidRPr="0020224B" w:rsidRDefault="00F7701E">
      <w:pPr>
        <w:pStyle w:val="Antrat"/>
      </w:pPr>
      <w:bookmarkStart w:id="3" w:name="_Toc230847242"/>
      <w:r w:rsidRPr="0020224B">
        <w:t xml:space="preserve">Acute necrotizing hemorrhagic encephalomyelitis (ANHEM), </w:t>
      </w:r>
      <w:r w:rsidRPr="0020224B">
        <w:rPr>
          <w:caps w:val="0"/>
        </w:rPr>
        <w:t>s.</w:t>
      </w:r>
      <w:r w:rsidRPr="0020224B">
        <w:t xml:space="preserve"> </w:t>
      </w:r>
      <w:r w:rsidRPr="0020224B">
        <w:rPr>
          <w:caps w:val="0"/>
        </w:rPr>
        <w:t>Acute Hemorrhagic Leukoencephalitis of</w:t>
      </w:r>
      <w:r w:rsidRPr="0020224B">
        <w:t xml:space="preserve"> Weston Hurst</w:t>
      </w:r>
      <w:bookmarkEnd w:id="3"/>
    </w:p>
    <w:p w:rsidR="00F7701E" w:rsidRPr="0020224B" w:rsidRDefault="00F7701E" w:rsidP="004B1E55">
      <w:pPr>
        <w:rPr>
          <w:szCs w:val="15"/>
        </w:rPr>
      </w:pPr>
      <w:r w:rsidRPr="0020224B">
        <w:rPr>
          <w:szCs w:val="15"/>
        </w:rPr>
        <w:t xml:space="preserve">- </w:t>
      </w:r>
      <w:r w:rsidRPr="0020224B">
        <w:rPr>
          <w:highlight w:val="yellow"/>
        </w:rPr>
        <w:t>hyperacute variant of ADEM</w:t>
      </w:r>
      <w:r w:rsidRPr="0020224B">
        <w:t>.</w:t>
      </w:r>
    </w:p>
    <w:p w:rsidR="00F7701E" w:rsidRPr="0020224B" w:rsidRDefault="00F7701E" w:rsidP="003473EA"/>
    <w:p w:rsidR="00F7701E" w:rsidRPr="0020224B" w:rsidRDefault="00F7701E">
      <w:pPr>
        <w:pStyle w:val="NormalWeb"/>
        <w:numPr>
          <w:ilvl w:val="0"/>
          <w:numId w:val="9"/>
        </w:numPr>
      </w:pPr>
      <w:r w:rsidRPr="0020224B">
        <w:rPr>
          <w:color w:val="000000"/>
        </w:rPr>
        <w:t>affects mainly children and young adults.</w:t>
      </w:r>
    </w:p>
    <w:p w:rsidR="00F7701E" w:rsidRPr="0020224B" w:rsidRDefault="00F7701E">
      <w:pPr>
        <w:pStyle w:val="NormalWeb"/>
        <w:numPr>
          <w:ilvl w:val="0"/>
          <w:numId w:val="9"/>
        </w:numPr>
      </w:pPr>
      <w:r w:rsidRPr="0020224B">
        <w:t xml:space="preserve">almost invariably preceded by recent episode of </w:t>
      </w:r>
      <w:r w:rsidRPr="0020224B">
        <w:rPr>
          <w:i/>
          <w:iCs/>
          <w:color w:val="FF0000"/>
        </w:rPr>
        <w:t>upper respiratory infection</w:t>
      </w:r>
      <w:r w:rsidRPr="0020224B">
        <w:t>.</w:t>
      </w:r>
    </w:p>
    <w:p w:rsidR="00F7701E" w:rsidRPr="0020224B" w:rsidRDefault="00F7701E">
      <w:pPr>
        <w:pStyle w:val="NormalWeb"/>
        <w:numPr>
          <w:ilvl w:val="0"/>
          <w:numId w:val="9"/>
        </w:numPr>
      </w:pPr>
      <w:r w:rsidRPr="0020224B">
        <w:rPr>
          <w:szCs w:val="15"/>
          <w:u w:val="single"/>
        </w:rPr>
        <w:t>immunopathogenesis</w:t>
      </w:r>
      <w:r w:rsidRPr="0020224B">
        <w:rPr>
          <w:szCs w:val="15"/>
        </w:rPr>
        <w:t xml:space="preserve"> similar to ADEM (</w:t>
      </w:r>
      <w:r w:rsidRPr="0020224B">
        <w:rPr>
          <w:szCs w:val="20"/>
        </w:rPr>
        <w:t>immune sensitization to MBP).</w:t>
      </w:r>
    </w:p>
    <w:p w:rsidR="00F7701E" w:rsidRPr="0020224B" w:rsidRDefault="00F7701E">
      <w:pPr>
        <w:pStyle w:val="NormalWeb"/>
        <w:numPr>
          <w:ilvl w:val="0"/>
          <w:numId w:val="9"/>
        </w:numPr>
      </w:pPr>
      <w:r w:rsidRPr="0020224B">
        <w:rPr>
          <w:szCs w:val="15"/>
          <w:u w:val="single"/>
        </w:rPr>
        <w:t>macroscopy</w:t>
      </w:r>
      <w:r w:rsidRPr="0020224B">
        <w:rPr>
          <w:szCs w:val="15"/>
        </w:rPr>
        <w:t xml:space="preserve"> - brain is swollen, with bilateral </w:t>
      </w:r>
      <w:r w:rsidRPr="0020224B">
        <w:rPr>
          <w:b/>
          <w:bCs/>
          <w:i/>
          <w:iCs/>
          <w:color w:val="0000FF"/>
          <w:szCs w:val="15"/>
        </w:rPr>
        <w:t>petechial hemorrhages</w:t>
      </w:r>
      <w:r w:rsidRPr="0020224B">
        <w:rPr>
          <w:szCs w:val="15"/>
        </w:rPr>
        <w:t xml:space="preserve"> throughout white matter (</w:t>
      </w:r>
      <w:r w:rsidRPr="0020224B">
        <w:rPr>
          <w:szCs w:val="20"/>
        </w:rPr>
        <w:t>hemispheres, brainstem, and spinal cord).</w:t>
      </w:r>
    </w:p>
    <w:p w:rsidR="00F7701E" w:rsidRPr="0020224B" w:rsidRDefault="00F7701E">
      <w:pPr>
        <w:pStyle w:val="NormalWeb"/>
        <w:numPr>
          <w:ilvl w:val="0"/>
          <w:numId w:val="9"/>
        </w:numPr>
      </w:pPr>
      <w:r w:rsidRPr="0020224B">
        <w:rPr>
          <w:szCs w:val="15"/>
          <w:u w:val="single"/>
        </w:rPr>
        <w:t>microscopy</w:t>
      </w:r>
      <w:r w:rsidRPr="0020224B">
        <w:rPr>
          <w:szCs w:val="15"/>
        </w:rPr>
        <w:t xml:space="preserve"> ≈ hyperacute EAE with </w:t>
      </w:r>
      <w:r w:rsidRPr="0020224B">
        <w:rPr>
          <w:b/>
          <w:bCs/>
          <w:szCs w:val="20"/>
        </w:rPr>
        <w:t>perivenous demyelination and intense infiltration</w:t>
      </w:r>
      <w:r w:rsidRPr="0020224B">
        <w:rPr>
          <w:szCs w:val="20"/>
        </w:rPr>
        <w:t xml:space="preserve"> by mononuclear and especially polymorphonuclear cells!</w:t>
      </w:r>
    </w:p>
    <w:p w:rsidR="00F7701E" w:rsidRPr="0020224B" w:rsidRDefault="00F7701E">
      <w:pPr>
        <w:pStyle w:val="NormalWeb"/>
        <w:numPr>
          <w:ilvl w:val="0"/>
          <w:numId w:val="9"/>
        </w:numPr>
      </w:pPr>
      <w:r w:rsidRPr="0020224B">
        <w:rPr>
          <w:szCs w:val="20"/>
        </w:rPr>
        <w:t xml:space="preserve">necrosis of walls of venules → fibrin deposition, petechiae, </w:t>
      </w:r>
      <w:r w:rsidRPr="0020224B">
        <w:t>disseminated necrosis of white and gray matter.</w:t>
      </w:r>
    </w:p>
    <w:p w:rsidR="00F7701E" w:rsidRPr="0020224B" w:rsidRDefault="00F7701E">
      <w:pPr>
        <w:pStyle w:val="NormalWeb"/>
        <w:numPr>
          <w:ilvl w:val="0"/>
          <w:numId w:val="9"/>
        </w:numPr>
      </w:pPr>
      <w:r w:rsidRPr="0020224B">
        <w:rPr>
          <w:szCs w:val="20"/>
        </w:rPr>
        <w:t>coalescence of smaller lesions → large necrotic foci.</w:t>
      </w:r>
    </w:p>
    <w:p w:rsidR="00F7701E" w:rsidRPr="0020224B" w:rsidRDefault="00F7701E">
      <w:pPr>
        <w:pStyle w:val="NormalWeb"/>
        <w:rPr>
          <w:szCs w:val="15"/>
        </w:rPr>
      </w:pPr>
    </w:p>
    <w:p w:rsidR="00F7701E" w:rsidRPr="0020224B" w:rsidRDefault="00F7701E">
      <w:pPr>
        <w:pStyle w:val="Nervous6"/>
      </w:pPr>
      <w:r w:rsidRPr="0020224B">
        <w:t>Clinical Features</w:t>
      </w:r>
    </w:p>
    <w:p w:rsidR="00F7701E" w:rsidRPr="0020224B" w:rsidRDefault="00F7701E">
      <w:pPr>
        <w:pStyle w:val="NormalWeb"/>
        <w:numPr>
          <w:ilvl w:val="0"/>
          <w:numId w:val="9"/>
        </w:numPr>
      </w:pPr>
      <w:r w:rsidRPr="0020224B">
        <w:rPr>
          <w:szCs w:val="15"/>
        </w:rPr>
        <w:t>sudden headache → fever, various focal signs (esp. seizures, quadriplegia) → rapid progression (few hours to several days) from lethargy to coma.</w:t>
      </w:r>
    </w:p>
    <w:p w:rsidR="00F7701E" w:rsidRPr="0020224B" w:rsidRDefault="00F7701E">
      <w:pPr>
        <w:pStyle w:val="NormalWeb"/>
        <w:numPr>
          <w:ilvl w:val="0"/>
          <w:numId w:val="9"/>
        </w:numPr>
      </w:pPr>
      <w:r w:rsidRPr="0020224B">
        <w:t>&gt; 80% cases are fatal (within 2-4 days).</w:t>
      </w:r>
    </w:p>
    <w:p w:rsidR="00F7701E" w:rsidRPr="0020224B" w:rsidRDefault="00F7701E">
      <w:pPr>
        <w:pStyle w:val="NormalWeb"/>
      </w:pPr>
    </w:p>
    <w:p w:rsidR="00F7701E" w:rsidRPr="0020224B" w:rsidRDefault="00F7701E">
      <w:pPr>
        <w:pStyle w:val="Nervous6"/>
        <w:tabs>
          <w:tab w:val="left" w:pos="1276"/>
        </w:tabs>
        <w:ind w:right="8647"/>
      </w:pPr>
      <w:r w:rsidRPr="0020224B">
        <w:t>Diagnosis</w:t>
      </w:r>
    </w:p>
    <w:p w:rsidR="00F7701E" w:rsidRPr="0020224B" w:rsidRDefault="00F7701E">
      <w:pPr>
        <w:pStyle w:val="NormalWeb"/>
        <w:numPr>
          <w:ilvl w:val="0"/>
          <w:numId w:val="9"/>
        </w:numPr>
      </w:pPr>
      <w:r w:rsidRPr="0020224B">
        <w:rPr>
          <w:b/>
          <w:bCs/>
          <w:color w:val="0000FF"/>
          <w:szCs w:val="15"/>
        </w:rPr>
        <w:t>CT</w:t>
      </w:r>
      <w:r w:rsidRPr="0020224B">
        <w:t xml:space="preserve"> – brain edema, diffuse areas of hypodensity in white matter.</w:t>
      </w:r>
    </w:p>
    <w:p w:rsidR="00F7701E" w:rsidRPr="0020224B" w:rsidRDefault="00F7701E">
      <w:pPr>
        <w:pStyle w:val="NormalWeb"/>
        <w:numPr>
          <w:ilvl w:val="0"/>
          <w:numId w:val="9"/>
        </w:numPr>
      </w:pPr>
      <w:r w:rsidRPr="0020224B">
        <w:t xml:space="preserve">late </w:t>
      </w:r>
      <w:r w:rsidRPr="0020224B">
        <w:rPr>
          <w:b/>
          <w:bCs/>
          <w:color w:val="0000FF"/>
          <w:szCs w:val="15"/>
        </w:rPr>
        <w:t>MRI</w:t>
      </w:r>
      <w:r w:rsidRPr="0020224B">
        <w:t xml:space="preserve"> </w:t>
      </w:r>
      <w:r w:rsidR="00BF7A45" w:rsidRPr="0020224B">
        <w:rPr>
          <w:szCs w:val="15"/>
        </w:rPr>
        <w:t xml:space="preserve">– </w:t>
      </w:r>
      <w:r w:rsidRPr="0020224B">
        <w:t>evidence of blood products.</w:t>
      </w:r>
    </w:p>
    <w:p w:rsidR="00F7701E" w:rsidRPr="0020224B" w:rsidRDefault="00F7701E">
      <w:pPr>
        <w:pStyle w:val="NormalWeb"/>
        <w:numPr>
          <w:ilvl w:val="0"/>
          <w:numId w:val="9"/>
        </w:numPr>
      </w:pPr>
      <w:r w:rsidRPr="0020224B">
        <w:rPr>
          <w:b/>
          <w:bCs/>
          <w:color w:val="0000FF"/>
          <w:szCs w:val="15"/>
        </w:rPr>
        <w:t>blood</w:t>
      </w:r>
      <w:r w:rsidRPr="0020224B">
        <w:rPr>
          <w:szCs w:val="15"/>
        </w:rPr>
        <w:t xml:space="preserve"> – marked </w:t>
      </w:r>
      <w:r w:rsidRPr="0020224B">
        <w:rPr>
          <w:b/>
          <w:bCs/>
          <w:i/>
          <w:iCs/>
          <w:szCs w:val="15"/>
        </w:rPr>
        <w:t>leukocytosis</w:t>
      </w:r>
      <w:r w:rsidRPr="0020224B">
        <w:rPr>
          <w:szCs w:val="15"/>
        </w:rPr>
        <w:t>, ESR↑.</w:t>
      </w:r>
    </w:p>
    <w:p w:rsidR="00F7701E" w:rsidRPr="0020224B" w:rsidRDefault="00F7701E">
      <w:pPr>
        <w:pStyle w:val="NormalWeb"/>
        <w:numPr>
          <w:ilvl w:val="0"/>
          <w:numId w:val="9"/>
        </w:numPr>
      </w:pPr>
      <w:r w:rsidRPr="0020224B">
        <w:rPr>
          <w:b/>
          <w:bCs/>
          <w:color w:val="0000FF"/>
          <w:szCs w:val="15"/>
        </w:rPr>
        <w:t>CSF</w:t>
      </w:r>
      <w:r w:rsidRPr="0020224B">
        <w:rPr>
          <w:szCs w:val="15"/>
        </w:rPr>
        <w:t>:</w:t>
      </w:r>
    </w:p>
    <w:p w:rsidR="00F7701E" w:rsidRPr="0020224B" w:rsidRDefault="00F7701E">
      <w:pPr>
        <w:pStyle w:val="NormalWeb"/>
        <w:numPr>
          <w:ilvl w:val="1"/>
          <w:numId w:val="9"/>
        </w:numPr>
      </w:pPr>
      <w:r w:rsidRPr="0020224B">
        <w:rPr>
          <w:szCs w:val="15"/>
        </w:rPr>
        <w:t xml:space="preserve">marked </w:t>
      </w:r>
      <w:r w:rsidRPr="0020224B">
        <w:rPr>
          <w:b/>
          <w:bCs/>
          <w:i/>
          <w:iCs/>
          <w:szCs w:val="15"/>
        </w:rPr>
        <w:t>pleocytosis</w:t>
      </w:r>
      <w:r w:rsidRPr="0020224B">
        <w:rPr>
          <w:szCs w:val="15"/>
        </w:rPr>
        <w:t xml:space="preserve"> up to 3000 cells/mm</w:t>
      </w:r>
      <w:r w:rsidRPr="0020224B">
        <w:rPr>
          <w:szCs w:val="15"/>
          <w:vertAlign w:val="superscript"/>
        </w:rPr>
        <w:t>3</w:t>
      </w:r>
      <w:r w:rsidRPr="0020224B">
        <w:rPr>
          <w:szCs w:val="15"/>
        </w:rPr>
        <w:t xml:space="preserve"> (preponderance of </w:t>
      </w:r>
      <w:r w:rsidRPr="0020224B">
        <w:rPr>
          <w:smallCaps/>
          <w:szCs w:val="15"/>
        </w:rPr>
        <w:t>polymorphonuclears</w:t>
      </w:r>
      <w:r w:rsidRPr="0020224B">
        <w:rPr>
          <w:szCs w:val="15"/>
        </w:rPr>
        <w:t>!)</w:t>
      </w:r>
    </w:p>
    <w:p w:rsidR="00F7701E" w:rsidRPr="0020224B" w:rsidRDefault="00F7701E">
      <w:pPr>
        <w:pStyle w:val="NormalWeb"/>
        <w:numPr>
          <w:ilvl w:val="1"/>
          <w:numId w:val="9"/>
        </w:numPr>
      </w:pPr>
      <w:r w:rsidRPr="0020224B">
        <w:rPr>
          <w:szCs w:val="15"/>
        </w:rPr>
        <w:t>evidence of hemorrhage</w:t>
      </w:r>
    </w:p>
    <w:p w:rsidR="00F7701E" w:rsidRPr="0020224B" w:rsidRDefault="00F7701E">
      <w:pPr>
        <w:pStyle w:val="NormalWeb"/>
        <w:numPr>
          <w:ilvl w:val="1"/>
          <w:numId w:val="9"/>
        </w:numPr>
      </w:pPr>
      <w:r w:rsidRPr="0020224B">
        <w:rPr>
          <w:szCs w:val="15"/>
        </w:rPr>
        <w:t>total protein↑.</w:t>
      </w:r>
    </w:p>
    <w:p w:rsidR="00F7701E" w:rsidRPr="0020224B" w:rsidRDefault="00F7701E">
      <w:pPr>
        <w:pStyle w:val="NormalWeb"/>
        <w:rPr>
          <w:szCs w:val="15"/>
        </w:rPr>
      </w:pPr>
    </w:p>
    <w:p w:rsidR="00F7701E" w:rsidRPr="0020224B" w:rsidRDefault="00F7701E">
      <w:pPr>
        <w:pStyle w:val="Nervous6"/>
        <w:tabs>
          <w:tab w:val="left" w:pos="993"/>
        </w:tabs>
        <w:ind w:right="8789"/>
      </w:pPr>
      <w:r w:rsidRPr="0020224B">
        <w:t>Therapy</w:t>
      </w:r>
    </w:p>
    <w:p w:rsidR="00F7701E" w:rsidRPr="0020224B" w:rsidRDefault="00F7701E">
      <w:pPr>
        <w:pStyle w:val="NormalWeb"/>
      </w:pPr>
      <w:r w:rsidRPr="0020224B">
        <w:rPr>
          <w:szCs w:val="15"/>
        </w:rPr>
        <w:t xml:space="preserve">- supportive + </w:t>
      </w:r>
      <w:r w:rsidRPr="00C4239C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methylprednisolone-prednisone</w:t>
      </w:r>
      <w:r w:rsidRPr="0020224B">
        <w:rPr>
          <w:szCs w:val="20"/>
        </w:rPr>
        <w:t xml:space="preserve"> regimens.</w:t>
      </w:r>
    </w:p>
    <w:p w:rsidR="00CC11A4" w:rsidRPr="0020224B" w:rsidRDefault="00CC11A4" w:rsidP="00CC11A4"/>
    <w:p w:rsidR="00CC11A4" w:rsidRPr="0020224B" w:rsidRDefault="00CC11A4" w:rsidP="00CC11A4"/>
    <w:p w:rsidR="00CC11A4" w:rsidRPr="0020224B" w:rsidRDefault="00CC11A4" w:rsidP="00CC11A4"/>
    <w:p w:rsidR="00CC11A4" w:rsidRPr="0020224B" w:rsidRDefault="00CC11A4" w:rsidP="00CC11A4"/>
    <w:p w:rsidR="00CC11A4" w:rsidRPr="0020224B" w:rsidRDefault="00CC11A4" w:rsidP="00CC11A4"/>
    <w:p w:rsidR="00CC11A4" w:rsidRPr="0020224B" w:rsidRDefault="00CC11A4" w:rsidP="00CC11A4"/>
    <w:p w:rsidR="00CC11A4" w:rsidRPr="0020224B" w:rsidRDefault="00CB22CD" w:rsidP="00CC11A4">
      <w:pPr>
        <w:rPr>
          <w:szCs w:val="24"/>
        </w:rPr>
      </w:pPr>
      <w:r w:rsidRPr="00A34D6F">
        <w:rPr>
          <w:smallCaps/>
          <w:szCs w:val="24"/>
          <w:u w:val="single"/>
        </w:rPr>
        <w:t>Bibliography</w:t>
      </w:r>
      <w:r w:rsidRPr="006C6B7A">
        <w:rPr>
          <w:szCs w:val="24"/>
        </w:rPr>
        <w:t xml:space="preserve"> </w:t>
      </w:r>
      <w:r w:rsidR="00CC11A4" w:rsidRPr="0020224B">
        <w:rPr>
          <w:szCs w:val="24"/>
        </w:rPr>
        <w:t xml:space="preserve">for ch. “Demyelinating Disorders” → follow this </w:t>
      </w:r>
      <w:hyperlink r:id="rId9" w:tgtFrame="_blank" w:history="1">
        <w:r w:rsidR="00CC11A4" w:rsidRPr="0020224B">
          <w:rPr>
            <w:rStyle w:val="Hyperlink"/>
            <w:smallCaps/>
            <w:szCs w:val="24"/>
          </w:rPr>
          <w:t>link</w:t>
        </w:r>
        <w:r w:rsidR="00CC11A4" w:rsidRPr="0020224B">
          <w:rPr>
            <w:rStyle w:val="Hyperlink"/>
            <w:szCs w:val="24"/>
          </w:rPr>
          <w:t xml:space="preserve"> &gt;&gt;</w:t>
        </w:r>
      </w:hyperlink>
    </w:p>
    <w:p w:rsidR="00CB22CD" w:rsidRDefault="00CB22CD" w:rsidP="00CB22CD">
      <w:pPr>
        <w:rPr>
          <w:sz w:val="20"/>
        </w:rPr>
      </w:pPr>
    </w:p>
    <w:p w:rsidR="00CB22CD" w:rsidRDefault="00CB22CD" w:rsidP="00CB22CD">
      <w:pPr>
        <w:pBdr>
          <w:bottom w:val="single" w:sz="4" w:space="1" w:color="auto"/>
        </w:pBdr>
        <w:ind w:right="57"/>
        <w:rPr>
          <w:sz w:val="20"/>
        </w:rPr>
      </w:pPr>
    </w:p>
    <w:p w:rsidR="00CB22CD" w:rsidRPr="00B806B3" w:rsidRDefault="00CB22CD" w:rsidP="00CB22CD">
      <w:pPr>
        <w:pBdr>
          <w:bottom w:val="single" w:sz="4" w:space="1" w:color="auto"/>
        </w:pBdr>
        <w:ind w:right="57"/>
        <w:rPr>
          <w:sz w:val="20"/>
        </w:rPr>
      </w:pPr>
    </w:p>
    <w:p w:rsidR="00CB22CD" w:rsidRDefault="003E1DE0" w:rsidP="00CB22CD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10" w:tgtFrame="_blank" w:history="1">
        <w:r w:rsidR="00CB22CD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CB22CD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CB22CD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CB22CD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F7701E" w:rsidRPr="00C4239C" w:rsidRDefault="003E1DE0" w:rsidP="00C4239C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11" w:tgtFrame="_blank" w:history="1">
        <w:r w:rsidR="00CB22CD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  <w:bookmarkEnd w:id="1"/>
    </w:p>
    <w:sectPr w:rsidR="00F7701E" w:rsidRPr="00C4239C" w:rsidSect="00026921">
      <w:headerReference w:type="default" r:id="rId12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3900" w:rsidRDefault="00323900">
      <w:r>
        <w:separator/>
      </w:r>
    </w:p>
  </w:endnote>
  <w:endnote w:type="continuationSeparator" w:id="0">
    <w:p w:rsidR="00323900" w:rsidRDefault="00323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3900" w:rsidRDefault="00323900">
      <w:r>
        <w:separator/>
      </w:r>
    </w:p>
  </w:footnote>
  <w:footnote w:type="continuationSeparator" w:id="0">
    <w:p w:rsidR="00323900" w:rsidRDefault="003239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01E" w:rsidRPr="008C4DAB" w:rsidRDefault="00C4239C" w:rsidP="008C4DAB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4DAB">
      <w:rPr>
        <w:b/>
        <w:caps/>
      </w:rPr>
      <w:tab/>
    </w:r>
    <w:r w:rsidR="00A858E2" w:rsidRPr="00A858E2">
      <w:rPr>
        <w:b/>
        <w:caps/>
      </w:rPr>
      <w:t>Cns</w:t>
    </w:r>
    <w:r w:rsidR="00A858E2" w:rsidRPr="00A858E2">
      <w:rPr>
        <w:b/>
        <w:smallCaps/>
      </w:rPr>
      <w:t xml:space="preserve"> complications of Viral Infections and Vaccines</w:t>
    </w:r>
    <w:r w:rsidR="008C4DAB">
      <w:rPr>
        <w:b/>
        <w:bCs/>
        <w:iCs/>
        <w:smallCaps/>
      </w:rPr>
      <w:tab/>
    </w:r>
    <w:r w:rsidR="008C4DAB">
      <w:t>Dem9 (</w:t>
    </w:r>
    <w:r w:rsidR="008C4DAB">
      <w:fldChar w:fldCharType="begin"/>
    </w:r>
    <w:r w:rsidR="008C4DAB">
      <w:instrText xml:space="preserve"> PAGE </w:instrText>
    </w:r>
    <w:r w:rsidR="008C4DAB">
      <w:fldChar w:fldCharType="separate"/>
    </w:r>
    <w:r w:rsidR="003E1DE0">
      <w:rPr>
        <w:noProof/>
      </w:rPr>
      <w:t>1</w:t>
    </w:r>
    <w:r w:rsidR="008C4DAB">
      <w:fldChar w:fldCharType="end"/>
    </w:r>
    <w:r w:rsidR="008C4DAB"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24F27"/>
    <w:multiLevelType w:val="hybridMultilevel"/>
    <w:tmpl w:val="887EBC7E"/>
    <w:lvl w:ilvl="0" w:tplc="B8005DA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E2F19"/>
    <w:multiLevelType w:val="hybridMultilevel"/>
    <w:tmpl w:val="3392CA06"/>
    <w:lvl w:ilvl="0" w:tplc="B8005DA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AE5E00DC">
      <w:start w:val="1"/>
      <w:numFmt w:val="lowerLetter"/>
      <w:lvlText w:val="%2)"/>
      <w:lvlJc w:val="left"/>
      <w:pPr>
        <w:tabs>
          <w:tab w:val="num" w:pos="306"/>
        </w:tabs>
        <w:ind w:left="286" w:hanging="340"/>
      </w:pPr>
      <w:rPr>
        <w:rFonts w:hint="default"/>
        <w:b w:val="0"/>
        <w:i w:val="0"/>
      </w:rPr>
    </w:lvl>
    <w:lvl w:ilvl="2" w:tplc="EA0A1D7C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000000"/>
        <w:sz w:val="24"/>
      </w:rPr>
    </w:lvl>
    <w:lvl w:ilvl="3" w:tplc="04090001">
      <w:start w:val="1"/>
      <w:numFmt w:val="bullet"/>
      <w:lvlText w:val=""/>
      <w:lvlJc w:val="left"/>
      <w:pPr>
        <w:tabs>
          <w:tab w:val="num" w:pos="1746"/>
        </w:tabs>
        <w:ind w:left="17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abstractNum w:abstractNumId="2" w15:restartNumberingAfterBreak="0">
    <w:nsid w:val="15242EDE"/>
    <w:multiLevelType w:val="hybridMultilevel"/>
    <w:tmpl w:val="6E74D394"/>
    <w:lvl w:ilvl="0" w:tplc="6080917C">
      <w:start w:val="1"/>
      <w:numFmt w:val="bullet"/>
      <w:lvlText w:val="–"/>
      <w:lvlJc w:val="left"/>
      <w:pPr>
        <w:tabs>
          <w:tab w:val="num" w:pos="2520"/>
        </w:tabs>
        <w:ind w:left="2500" w:hanging="340"/>
      </w:pPr>
      <w:rPr>
        <w:rFonts w:ascii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66"/>
        </w:tabs>
        <w:ind w:left="6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86"/>
        </w:tabs>
        <w:ind w:left="67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06"/>
        </w:tabs>
        <w:ind w:left="7506" w:hanging="360"/>
      </w:pPr>
      <w:rPr>
        <w:rFonts w:ascii="Wingdings" w:hAnsi="Wingdings" w:hint="default"/>
      </w:rPr>
    </w:lvl>
  </w:abstractNum>
  <w:abstractNum w:abstractNumId="3" w15:restartNumberingAfterBreak="0">
    <w:nsid w:val="19ED3CEE"/>
    <w:multiLevelType w:val="hybridMultilevel"/>
    <w:tmpl w:val="74F0B970"/>
    <w:lvl w:ilvl="0" w:tplc="8DA68F2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5B868CD0">
      <w:start w:val="1"/>
      <w:numFmt w:val="decimal"/>
      <w:lvlText w:val="%2)"/>
      <w:lvlJc w:val="left"/>
      <w:pPr>
        <w:tabs>
          <w:tab w:val="num" w:pos="873"/>
        </w:tabs>
        <w:ind w:left="853" w:hanging="34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218C2861"/>
    <w:multiLevelType w:val="hybridMultilevel"/>
    <w:tmpl w:val="87E4B6F8"/>
    <w:lvl w:ilvl="0" w:tplc="AE5E00DC">
      <w:start w:val="1"/>
      <w:numFmt w:val="lowerLetter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1" w:tplc="B8005DAC">
      <w:start w:val="1"/>
      <w:numFmt w:val="bullet"/>
      <w:lvlText w:val=""/>
      <w:lvlJc w:val="left"/>
      <w:pPr>
        <w:tabs>
          <w:tab w:val="num" w:pos="1156"/>
        </w:tabs>
        <w:ind w:left="1136" w:hanging="340"/>
      </w:pPr>
      <w:rPr>
        <w:rFonts w:ascii="Symbol" w:hAnsi="Symbol" w:hint="default"/>
        <w:color w:val="00000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5" w15:restartNumberingAfterBreak="0">
    <w:nsid w:val="279D5EFB"/>
    <w:multiLevelType w:val="hybridMultilevel"/>
    <w:tmpl w:val="F9C0FCD4"/>
    <w:lvl w:ilvl="0" w:tplc="8DA68F2E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A30A82"/>
    <w:multiLevelType w:val="hybridMultilevel"/>
    <w:tmpl w:val="42ECCF06"/>
    <w:lvl w:ilvl="0" w:tplc="6080917C">
      <w:start w:val="1"/>
      <w:numFmt w:val="bullet"/>
      <w:lvlText w:val="–"/>
      <w:lvlJc w:val="left"/>
      <w:pPr>
        <w:tabs>
          <w:tab w:val="num" w:pos="1494"/>
        </w:tabs>
        <w:ind w:left="1474" w:hanging="340"/>
      </w:pPr>
      <w:rPr>
        <w:rFonts w:ascii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8005DA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5C5E4A"/>
    <w:multiLevelType w:val="hybridMultilevel"/>
    <w:tmpl w:val="3392CA06"/>
    <w:lvl w:ilvl="0" w:tplc="B8005DA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AE5E00DC">
      <w:start w:val="1"/>
      <w:numFmt w:val="lowerLetter"/>
      <w:lvlText w:val="%2)"/>
      <w:lvlJc w:val="left"/>
      <w:pPr>
        <w:tabs>
          <w:tab w:val="num" w:pos="306"/>
        </w:tabs>
        <w:ind w:left="286" w:hanging="340"/>
      </w:pPr>
      <w:rPr>
        <w:rFonts w:hint="default"/>
        <w:b w:val="0"/>
        <w:i w:val="0"/>
      </w:rPr>
    </w:lvl>
    <w:lvl w:ilvl="2" w:tplc="B8005DA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3" w:tplc="6080917C">
      <w:start w:val="1"/>
      <w:numFmt w:val="bullet"/>
      <w:lvlText w:val="–"/>
      <w:lvlJc w:val="left"/>
      <w:pPr>
        <w:tabs>
          <w:tab w:val="num" w:pos="1746"/>
        </w:tabs>
        <w:ind w:left="1726" w:hanging="340"/>
      </w:pPr>
      <w:rPr>
        <w:rFonts w:ascii="Times New Roman" w:hAnsi="Times New Roman" w:cs="Times New Roman" w:hint="default"/>
        <w:color w:val="000000"/>
      </w:rPr>
    </w:lvl>
    <w:lvl w:ilvl="4" w:tplc="B8005DAC">
      <w:start w:val="1"/>
      <w:numFmt w:val="bullet"/>
      <w:lvlText w:val=""/>
      <w:lvlJc w:val="left"/>
      <w:pPr>
        <w:tabs>
          <w:tab w:val="num" w:pos="2466"/>
        </w:tabs>
        <w:ind w:left="2446" w:hanging="340"/>
      </w:pPr>
      <w:rPr>
        <w:rFonts w:ascii="Symbol" w:hAnsi="Symbol" w:hint="default"/>
        <w:color w:val="000000"/>
        <w:sz w:val="24"/>
      </w:rPr>
    </w:lvl>
    <w:lvl w:ilvl="5" w:tplc="04090005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abstractNum w:abstractNumId="8" w15:restartNumberingAfterBreak="0">
    <w:nsid w:val="75A504EE"/>
    <w:multiLevelType w:val="hybridMultilevel"/>
    <w:tmpl w:val="9F5293F8"/>
    <w:lvl w:ilvl="0" w:tplc="B8005DAC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0"/>
  </w:num>
  <w:num w:numId="5">
    <w:abstractNumId w:val="7"/>
  </w:num>
  <w:num w:numId="6">
    <w:abstractNumId w:val="2"/>
  </w:num>
  <w:num w:numId="7">
    <w:abstractNumId w:val="6"/>
  </w:num>
  <w:num w:numId="8">
    <w:abstractNumId w:val="5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34E"/>
    <w:rsid w:val="00026921"/>
    <w:rsid w:val="00095671"/>
    <w:rsid w:val="00124C20"/>
    <w:rsid w:val="00142DAF"/>
    <w:rsid w:val="00196339"/>
    <w:rsid w:val="001C124E"/>
    <w:rsid w:val="0020224B"/>
    <w:rsid w:val="002D568D"/>
    <w:rsid w:val="00323900"/>
    <w:rsid w:val="003473EA"/>
    <w:rsid w:val="003A5B35"/>
    <w:rsid w:val="003E1DE0"/>
    <w:rsid w:val="003E4842"/>
    <w:rsid w:val="004B1E55"/>
    <w:rsid w:val="006837A8"/>
    <w:rsid w:val="0069042F"/>
    <w:rsid w:val="00730897"/>
    <w:rsid w:val="00736FAB"/>
    <w:rsid w:val="00753A40"/>
    <w:rsid w:val="0083220C"/>
    <w:rsid w:val="008C4DAB"/>
    <w:rsid w:val="009667F7"/>
    <w:rsid w:val="009F4395"/>
    <w:rsid w:val="00A65E13"/>
    <w:rsid w:val="00A7234E"/>
    <w:rsid w:val="00A858E2"/>
    <w:rsid w:val="00A90A2E"/>
    <w:rsid w:val="00AE1CCC"/>
    <w:rsid w:val="00B15D34"/>
    <w:rsid w:val="00B24651"/>
    <w:rsid w:val="00B4237A"/>
    <w:rsid w:val="00B57026"/>
    <w:rsid w:val="00B95C99"/>
    <w:rsid w:val="00BB233E"/>
    <w:rsid w:val="00BF7A45"/>
    <w:rsid w:val="00C4239C"/>
    <w:rsid w:val="00C75440"/>
    <w:rsid w:val="00CA1AD1"/>
    <w:rsid w:val="00CB22CD"/>
    <w:rsid w:val="00CC11A4"/>
    <w:rsid w:val="00CE7226"/>
    <w:rsid w:val="00CF7FFE"/>
    <w:rsid w:val="00D3060A"/>
    <w:rsid w:val="00D40B3F"/>
    <w:rsid w:val="00DF4F85"/>
    <w:rsid w:val="00E0242C"/>
    <w:rsid w:val="00E279F3"/>
    <w:rsid w:val="00E310BD"/>
    <w:rsid w:val="00E56232"/>
    <w:rsid w:val="00F430C0"/>
    <w:rsid w:val="00F7701E"/>
    <w:rsid w:val="00F77D74"/>
    <w:rsid w:val="00FA7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30AF2ACE-5427-4D9A-AF1F-02F731AF3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5E13"/>
    <w:rPr>
      <w:sz w:val="24"/>
    </w:rPr>
  </w:style>
  <w:style w:type="paragraph" w:styleId="Heading8">
    <w:name w:val="heading 8"/>
    <w:basedOn w:val="Normal"/>
    <w:next w:val="Normal"/>
    <w:qFormat/>
    <w:rsid w:val="00A65E13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A65E1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A65E13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A65E13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A65E13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semiHidden/>
    <w:rsid w:val="00A65E13"/>
    <w:rPr>
      <w:b/>
      <w:smallCaps/>
      <w:lang w:val="lt-LT"/>
    </w:rPr>
  </w:style>
  <w:style w:type="paragraph" w:styleId="TOC2">
    <w:name w:val="toc 2"/>
    <w:basedOn w:val="Normal"/>
    <w:next w:val="Normal"/>
    <w:autoRedefine/>
    <w:semiHidden/>
    <w:rsid w:val="00A65E13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A65E13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A65E13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A65E13"/>
    <w:rPr>
      <w:b/>
      <w:caps/>
      <w:sz w:val="28"/>
      <w:u w:val="double"/>
    </w:rPr>
  </w:style>
  <w:style w:type="character" w:styleId="Hyperlink">
    <w:name w:val="Hyperlink"/>
    <w:basedOn w:val="DefaultParagraphFont"/>
    <w:rsid w:val="00A65E13"/>
    <w:rPr>
      <w:color w:val="999999"/>
      <w:u w:val="none"/>
    </w:rPr>
  </w:style>
  <w:style w:type="paragraph" w:customStyle="1" w:styleId="Nervous4">
    <w:name w:val="Nervous 4"/>
    <w:basedOn w:val="Normal"/>
    <w:rsid w:val="00A65E1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A65E13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alloonText">
    <w:name w:val="Balloon Text"/>
    <w:basedOn w:val="Normal"/>
    <w:link w:val="BalloonTextChar"/>
    <w:rsid w:val="00A65E13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rsid w:val="00A65E13"/>
    <w:pPr>
      <w:spacing w:before="240"/>
      <w:jc w:val="center"/>
    </w:pPr>
    <w:rPr>
      <w:b/>
      <w:bCs/>
      <w:i/>
      <w:iCs/>
      <w:sz w:val="44"/>
    </w:rPr>
  </w:style>
  <w:style w:type="character" w:customStyle="1" w:styleId="BalloonTextChar">
    <w:name w:val="Balloon Text Char"/>
    <w:basedOn w:val="DefaultParagraphFont"/>
    <w:link w:val="BalloonText"/>
    <w:rsid w:val="00A65E13"/>
    <w:rPr>
      <w:rFonts w:ascii="Tahoma" w:hAnsi="Tahoma" w:cs="Tahoma"/>
      <w:sz w:val="16"/>
      <w:szCs w:val="16"/>
    </w:rPr>
  </w:style>
  <w:style w:type="paragraph" w:customStyle="1" w:styleId="Drugname">
    <w:name w:val="Drug name"/>
    <w:basedOn w:val="NormalWeb"/>
    <w:autoRedefine/>
    <w:rsid w:val="00A65E13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rsid w:val="00A65E13"/>
    <w:rPr>
      <w:szCs w:val="24"/>
    </w:rPr>
  </w:style>
  <w:style w:type="paragraph" w:customStyle="1" w:styleId="Nervous6">
    <w:name w:val="Nervous 6"/>
    <w:basedOn w:val="Normal"/>
    <w:rsid w:val="00A65E13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customStyle="1" w:styleId="Nervous7">
    <w:name w:val="Nervous 7"/>
    <w:basedOn w:val="Normal"/>
    <w:rsid w:val="00A65E13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rsid w:val="00A65E13"/>
    <w:rPr>
      <w:b w:val="0"/>
      <w:caps w:val="0"/>
      <w:smallCaps/>
    </w:r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rsid w:val="00A65E13"/>
    <w:pPr>
      <w:tabs>
        <w:tab w:val="right" w:leader="dot" w:pos="9912"/>
      </w:tabs>
      <w:spacing w:line="240" w:lineRule="atLeast"/>
      <w:ind w:left="1134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FollowedHyperlink">
    <w:name w:val="FollowedHyperlink"/>
    <w:basedOn w:val="DefaultParagraphFont"/>
    <w:rsid w:val="00A65E13"/>
    <w:rPr>
      <w:color w:val="999999"/>
      <w:u w:val="none"/>
    </w:rPr>
  </w:style>
  <w:style w:type="paragraph" w:customStyle="1" w:styleId="Nervous9">
    <w:name w:val="Nervous 9"/>
    <w:link w:val="Nervous9Char"/>
    <w:rsid w:val="00A65E13"/>
    <w:rPr>
      <w:sz w:val="24"/>
      <w:szCs w:val="24"/>
      <w:u w:val="double" w:color="FF0000"/>
    </w:rPr>
  </w:style>
  <w:style w:type="paragraph" w:customStyle="1" w:styleId="Nervous8">
    <w:name w:val="Nervous 8"/>
    <w:basedOn w:val="Normal"/>
    <w:rsid w:val="00A65E13"/>
    <w:rPr>
      <w:i/>
      <w:smallCaps/>
      <w:color w:val="999999"/>
      <w:szCs w:val="24"/>
    </w:rPr>
  </w:style>
  <w:style w:type="character" w:customStyle="1" w:styleId="Nervous9Char">
    <w:name w:val="Nervous 9 Char"/>
    <w:basedOn w:val="DefaultParagraphFont"/>
    <w:link w:val="Nervous9"/>
    <w:rsid w:val="009F4395"/>
    <w:rPr>
      <w:sz w:val="24"/>
      <w:szCs w:val="24"/>
      <w:u w:val="double" w:color="FF0000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7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neurosurgeryresident.net/Mov.%20Movement%20disorders,%20Ataxias\Mov50.%20Ataxias.pdf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eurosurgeryresident.net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neurosurgeryresident.ne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eurosurgeryresident.net/Dem.%20Demyelinating%20disorders\Dem.%20Bibliography.pdf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11</TotalTime>
  <Pages>2</Pages>
  <Words>1085</Words>
  <Characters>6185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CNS complications of Viral Infections and Vaccines</vt:lpstr>
    </vt:vector>
  </TitlesOfParts>
  <Company>www.NeurosurgeryResident.net</Company>
  <LinksUpToDate>false</LinksUpToDate>
  <CharactersWithSpaces>7256</CharactersWithSpaces>
  <SharedDoc>false</SharedDoc>
  <HLinks>
    <vt:vector size="48" baseType="variant">
      <vt:variant>
        <vt:i4>5242973</vt:i4>
      </vt:variant>
      <vt:variant>
        <vt:i4>30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27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852060</vt:i4>
      </vt:variant>
      <vt:variant>
        <vt:i4>24</vt:i4>
      </vt:variant>
      <vt:variant>
        <vt:i4>0</vt:i4>
      </vt:variant>
      <vt:variant>
        <vt:i4>5</vt:i4>
      </vt:variant>
      <vt:variant>
        <vt:lpwstr>Dem. Bibliography.doc</vt:lpwstr>
      </vt:variant>
      <vt:variant>
        <vt:lpwstr/>
      </vt:variant>
      <vt:variant>
        <vt:i4>7733369</vt:i4>
      </vt:variant>
      <vt:variant>
        <vt:i4>18</vt:i4>
      </vt:variant>
      <vt:variant>
        <vt:i4>0</vt:i4>
      </vt:variant>
      <vt:variant>
        <vt:i4>5</vt:i4>
      </vt:variant>
      <vt:variant>
        <vt:lpwstr>../Mov. Movement disorders, Ataxias/Mov50. Ataxias.doc</vt:lpwstr>
      </vt:variant>
      <vt:variant>
        <vt:lpwstr/>
      </vt:variant>
      <vt:variant>
        <vt:i4>2031668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_Toc230847242</vt:lpwstr>
      </vt:variant>
      <vt:variant>
        <vt:i4>2031668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_Toc230847241</vt:lpwstr>
      </vt:variant>
      <vt:variant>
        <vt:i4>1179749</vt:i4>
      </vt:variant>
      <vt:variant>
        <vt:i4>4243</vt:i4>
      </vt:variant>
      <vt:variant>
        <vt:i4>1025</vt:i4>
      </vt:variant>
      <vt:variant>
        <vt:i4>1</vt:i4>
      </vt:variant>
      <vt:variant>
        <vt:lpwstr>D:\Viktoro\Neuroscience\Dem. Demyelinating disorders\00. Pictures\Postvaccinal encephalomyelitis (histology).jpg</vt:lpwstr>
      </vt:variant>
      <vt:variant>
        <vt:lpwstr/>
      </vt:variant>
      <vt:variant>
        <vt:i4>5242973</vt:i4>
      </vt:variant>
      <vt:variant>
        <vt:i4>-1</vt:i4>
      </vt:variant>
      <vt:variant>
        <vt:i4>2049</vt:i4>
      </vt:variant>
      <vt:variant>
        <vt:i4>4</vt:i4>
      </vt:variant>
      <vt:variant>
        <vt:lpwstr>http://www.neurosurgeryresident.net/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CNS complications of Viral Infections and Vaccines</dc:title>
  <dc:subject/>
  <dc:creator>Viktoras Palys, MD</dc:creator>
  <cp:keywords/>
  <cp:lastModifiedBy>Viktoras Palys</cp:lastModifiedBy>
  <cp:revision>6</cp:revision>
  <cp:lastPrinted>2017-09-05T01:29:00Z</cp:lastPrinted>
  <dcterms:created xsi:type="dcterms:W3CDTF">2016-02-19T01:27:00Z</dcterms:created>
  <dcterms:modified xsi:type="dcterms:W3CDTF">2017-09-05T01:29:00Z</dcterms:modified>
</cp:coreProperties>
</file>