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ED" w:rsidRPr="00956B5F" w:rsidRDefault="00190EED" w:rsidP="002452B8">
      <w:pPr>
        <w:pStyle w:val="Title"/>
      </w:pPr>
      <w:bookmarkStart w:id="0" w:name="_GoBack"/>
      <w:r w:rsidRPr="00956B5F">
        <w:t>Degenerative CNS Diseases</w:t>
      </w:r>
    </w:p>
    <w:p w:rsidR="00851489" w:rsidRDefault="00851489" w:rsidP="00851489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10653">
        <w:rPr>
          <w:noProof/>
        </w:rPr>
        <w:t>April 19, 2019</w:t>
      </w:r>
      <w:r>
        <w:fldChar w:fldCharType="end"/>
      </w:r>
    </w:p>
    <w:p w:rsidR="003A4479" w:rsidRDefault="003A447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3124700" w:history="1">
        <w:r w:rsidRPr="0022497D">
          <w:rPr>
            <w:rStyle w:val="Hyperlink"/>
            <w:noProof/>
          </w:rPr>
          <w:t>Leukodystrophies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_Toc3124700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065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4479" w:rsidRDefault="00E1065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124701" w:history="1">
        <w:r w:rsidR="003A4479" w:rsidRPr="0022497D">
          <w:rPr>
            <w:rStyle w:val="Hyperlink"/>
            <w:noProof/>
          </w:rPr>
          <w:t>Neurodegenerative Diseases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_Toc3124701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702" w:history="1">
        <w:r w:rsidR="003A4479" w:rsidRPr="0022497D">
          <w:rPr>
            <w:rStyle w:val="Hyperlink"/>
            <w:noProof/>
          </w:rPr>
          <w:t>Etiology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_Toc3124702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703" w:history="1">
        <w:r w:rsidR="003A4479" w:rsidRPr="0022497D">
          <w:rPr>
            <w:rStyle w:val="Hyperlink"/>
            <w:noProof/>
          </w:rPr>
          <w:t>Clinical hallmark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_Toc3124703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704" w:history="1">
        <w:r w:rsidR="003A4479" w:rsidRPr="0022497D">
          <w:rPr>
            <w:rStyle w:val="Hyperlink"/>
            <w:noProof/>
          </w:rPr>
          <w:t>Neuropathologic findings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_Toc3124704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705" w:history="1">
        <w:r w:rsidR="003A4479" w:rsidRPr="0022497D">
          <w:rPr>
            <w:rStyle w:val="Hyperlink"/>
            <w:noProof/>
          </w:rPr>
          <w:t>Classified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_Toc3124705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24706" w:history="1">
        <w:r w:rsidR="003A4479" w:rsidRPr="0022497D">
          <w:rPr>
            <w:rStyle w:val="Hyperlink"/>
            <w:noProof/>
          </w:rPr>
          <w:t>Diagnosis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_Toc3124706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3A4479" w:rsidRDefault="00E1065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24707" w:history="1">
        <w:r w:rsidR="003A4479" w:rsidRPr="0022497D">
          <w:rPr>
            <w:rStyle w:val="Hyperlink"/>
            <w:noProof/>
          </w:rPr>
          <w:t>Trinucleotide repeat diseases (TRD)</w:t>
        </w:r>
        <w:r w:rsidR="003A4479">
          <w:rPr>
            <w:noProof/>
            <w:webHidden/>
          </w:rPr>
          <w:tab/>
        </w:r>
        <w:r w:rsidR="003A4479">
          <w:rPr>
            <w:noProof/>
            <w:webHidden/>
          </w:rPr>
          <w:fldChar w:fldCharType="begin"/>
        </w:r>
        <w:r w:rsidR="003A4479">
          <w:rPr>
            <w:noProof/>
            <w:webHidden/>
          </w:rPr>
          <w:instrText xml:space="preserve"> PAGEREF _Toc3124707 \h </w:instrText>
        </w:r>
        <w:r w:rsidR="003A4479">
          <w:rPr>
            <w:noProof/>
            <w:webHidden/>
          </w:rPr>
        </w:r>
        <w:r w:rsidR="003A447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A4479">
          <w:rPr>
            <w:noProof/>
            <w:webHidden/>
          </w:rPr>
          <w:fldChar w:fldCharType="end"/>
        </w:r>
      </w:hyperlink>
    </w:p>
    <w:p w:rsidR="00190EED" w:rsidRDefault="003A4479">
      <w:r>
        <w:rPr>
          <w:b/>
          <w:smallCaps/>
          <w:lang w:val="lt-LT"/>
        </w:rPr>
        <w:fldChar w:fldCharType="end"/>
      </w:r>
    </w:p>
    <w:p w:rsidR="00994E0C" w:rsidRPr="00956B5F" w:rsidRDefault="00994E0C"/>
    <w:p w:rsidR="00190EED" w:rsidRPr="00956B5F" w:rsidRDefault="00994E0C">
      <w:r w:rsidRPr="00994E0C">
        <w:rPr>
          <w:b/>
          <w:smallCaps/>
          <w:u w:val="single"/>
        </w:rPr>
        <w:t>Degenerative CNS Diseases</w:t>
      </w:r>
      <w:r w:rsidRPr="00956B5F">
        <w:t xml:space="preserve"> </w:t>
      </w:r>
      <w:r w:rsidR="00190EED" w:rsidRPr="00956B5F">
        <w:t>- function deterioration over extended period of time.</w:t>
      </w:r>
    </w:p>
    <w:p w:rsidR="00190EED" w:rsidRPr="00956B5F" w:rsidRDefault="00190EED">
      <w:pPr>
        <w:numPr>
          <w:ilvl w:val="0"/>
          <w:numId w:val="6"/>
        </w:numPr>
      </w:pPr>
      <w:r w:rsidRPr="00956B5F">
        <w:t xml:space="preserve">most are </w:t>
      </w:r>
      <w:r w:rsidRPr="00956B5F">
        <w:rPr>
          <w:b/>
          <w:bCs/>
        </w:rPr>
        <w:t>genetic</w:t>
      </w:r>
      <w:r w:rsidRPr="00956B5F">
        <w:t xml:space="preserve"> with </w:t>
      </w:r>
      <w:r w:rsidRPr="00956B5F">
        <w:rPr>
          <w:b/>
          <w:bCs/>
          <w:i/>
          <w:iCs/>
        </w:rPr>
        <w:t>metabolic basis</w:t>
      </w:r>
      <w:r w:rsidRPr="00956B5F">
        <w:t>.</w:t>
      </w:r>
    </w:p>
    <w:p w:rsidR="00190EED" w:rsidRPr="00956B5F" w:rsidRDefault="00190EED">
      <w:pPr>
        <w:numPr>
          <w:ilvl w:val="0"/>
          <w:numId w:val="6"/>
        </w:numPr>
      </w:pPr>
      <w:r w:rsidRPr="00956B5F">
        <w:t xml:space="preserve">may start with difficult to recognize </w:t>
      </w:r>
      <w:r w:rsidRPr="00956B5F">
        <w:rPr>
          <w:i/>
          <w:iCs/>
        </w:rPr>
        <w:t>losses in motor, cognitive, language skills</w:t>
      </w:r>
      <w:r w:rsidRPr="00956B5F">
        <w:t>.</w:t>
      </w:r>
    </w:p>
    <w:p w:rsidR="00190EED" w:rsidRPr="00956B5F" w:rsidRDefault="00190EED">
      <w:pPr>
        <w:numPr>
          <w:ilvl w:val="0"/>
          <w:numId w:val="6"/>
        </w:numPr>
      </w:pPr>
      <w:r w:rsidRPr="00956B5F">
        <w:t xml:space="preserve">another possible onset – </w:t>
      </w:r>
      <w:r w:rsidRPr="00956B5F">
        <w:rPr>
          <w:i/>
          <w:iCs/>
        </w:rPr>
        <w:t>seizures</w:t>
      </w:r>
      <w:r w:rsidRPr="00956B5F">
        <w:t>.</w:t>
      </w:r>
    </w:p>
    <w:p w:rsidR="00190EED" w:rsidRPr="00956B5F" w:rsidRDefault="00190EED">
      <w:pPr>
        <w:numPr>
          <w:ilvl w:val="0"/>
          <w:numId w:val="6"/>
        </w:numPr>
      </w:pPr>
      <w:r w:rsidRPr="00956B5F">
        <w:rPr>
          <w:u w:val="single"/>
        </w:rPr>
        <w:t>screening studies</w:t>
      </w:r>
      <w:r w:rsidRPr="00956B5F">
        <w:t>:</w:t>
      </w:r>
    </w:p>
    <w:p w:rsidR="00190EED" w:rsidRPr="00956B5F" w:rsidRDefault="00190EED">
      <w:pPr>
        <w:ind w:left="720"/>
      </w:pPr>
      <w:r w:rsidRPr="00956B5F">
        <w:rPr>
          <w:b/>
          <w:bCs/>
          <w:color w:val="0000FF"/>
        </w:rPr>
        <w:t>blood</w:t>
      </w:r>
      <w:r w:rsidRPr="00956B5F">
        <w:t xml:space="preserve"> – glycemia, ammonium, lactate, pyruvate, pH, lysosomal enzymes.</w:t>
      </w:r>
    </w:p>
    <w:p w:rsidR="00190EED" w:rsidRPr="00956B5F" w:rsidRDefault="00190EED">
      <w:pPr>
        <w:ind w:left="720"/>
      </w:pPr>
      <w:r w:rsidRPr="00956B5F">
        <w:rPr>
          <w:b/>
          <w:bCs/>
          <w:color w:val="0000FF"/>
        </w:rPr>
        <w:t>urine</w:t>
      </w:r>
      <w:r w:rsidRPr="00956B5F">
        <w:t xml:space="preserve"> – amino acids (for aminoacidopathies), organic acids (for fatty acid metabolism disorders), bile acids (for peroxisomal disorders).</w:t>
      </w:r>
    </w:p>
    <w:p w:rsidR="00190EED" w:rsidRPr="00956B5F" w:rsidRDefault="00190EED">
      <w:pPr>
        <w:ind w:left="720"/>
      </w:pPr>
      <w:r w:rsidRPr="00956B5F">
        <w:rPr>
          <w:b/>
          <w:bCs/>
          <w:color w:val="0000FF"/>
        </w:rPr>
        <w:t>skin fibroblasts</w:t>
      </w:r>
      <w:r w:rsidRPr="00956B5F">
        <w:t xml:space="preserve"> – microscopic abnormalities, missing enzymes.</w:t>
      </w:r>
    </w:p>
    <w:p w:rsidR="00190EED" w:rsidRPr="00956B5F" w:rsidRDefault="00190EED"/>
    <w:p w:rsidR="00F43F80" w:rsidRDefault="00F43F80"/>
    <w:p w:rsidR="00994E0C" w:rsidRDefault="00994E0C"/>
    <w:p w:rsidR="00994E0C" w:rsidRPr="00956B5F" w:rsidRDefault="00994E0C"/>
    <w:p w:rsidR="00190EED" w:rsidRPr="00956B5F" w:rsidRDefault="00190EED">
      <w:pPr>
        <w:pStyle w:val="Antrat"/>
      </w:pPr>
      <w:bookmarkStart w:id="1" w:name="_Toc3124700"/>
      <w:r w:rsidRPr="00956B5F">
        <w:t>Leukodystrophies</w:t>
      </w:r>
      <w:bookmarkEnd w:id="1"/>
    </w:p>
    <w:p w:rsidR="00190EED" w:rsidRPr="00956B5F" w:rsidRDefault="00190EED">
      <w:pPr>
        <w:rPr>
          <w:color w:val="808080"/>
        </w:rPr>
      </w:pPr>
      <w:r w:rsidRPr="00956B5F">
        <w:t xml:space="preserve">- diseases of </w:t>
      </w:r>
      <w:r w:rsidRPr="00956B5F">
        <w:rPr>
          <w:b/>
          <w:bCs/>
        </w:rPr>
        <w:t>white matter</w:t>
      </w:r>
      <w:r w:rsidRPr="00956B5F">
        <w:t xml:space="preserve"> - </w:t>
      </w:r>
      <w:r w:rsidRPr="00956B5F">
        <w:rPr>
          <w:i/>
          <w:iCs/>
          <w:highlight w:val="yellow"/>
        </w:rPr>
        <w:t>progressive loss of myelin</w:t>
      </w:r>
      <w:r w:rsidRPr="00956B5F">
        <w:t xml:space="preserve">.   </w:t>
      </w:r>
      <w:hyperlink r:id="rId7" w:history="1">
        <w:r w:rsidR="00BE1492" w:rsidRPr="00BE1492">
          <w:rPr>
            <w:rStyle w:val="Hyperlink"/>
          </w:rPr>
          <w:t xml:space="preserve">see p. </w:t>
        </w:r>
        <w:r w:rsidRPr="00BE1492">
          <w:rPr>
            <w:rStyle w:val="Hyperlink"/>
          </w:rPr>
          <w:t>Dem11</w:t>
        </w:r>
        <w:r w:rsidR="00BE1492" w:rsidRPr="00BE1492">
          <w:rPr>
            <w:rStyle w:val="Hyperlink"/>
          </w:rPr>
          <w:t xml:space="preserve"> &gt;&gt;</w:t>
        </w:r>
      </w:hyperlink>
    </w:p>
    <w:p w:rsidR="00190EED" w:rsidRPr="00956B5F" w:rsidRDefault="00BA2AF5" w:rsidP="00BA2AF5">
      <w:pPr>
        <w:ind w:left="1440"/>
      </w:pPr>
      <w:r w:rsidRPr="00956B5F">
        <w:rPr>
          <w:color w:val="FF0000"/>
        </w:rPr>
        <w:t>UMN signs</w:t>
      </w:r>
      <w:r w:rsidRPr="00956B5F">
        <w:t xml:space="preserve"> are prominent early!</w:t>
      </w:r>
    </w:p>
    <w:p w:rsidR="00F43F80" w:rsidRPr="00956B5F" w:rsidRDefault="00F43F80" w:rsidP="00F43F80"/>
    <w:p w:rsidR="00F43F80" w:rsidRDefault="00F43F80" w:rsidP="00F43F80"/>
    <w:p w:rsidR="00994E0C" w:rsidRDefault="00994E0C" w:rsidP="00F43F80"/>
    <w:p w:rsidR="00994E0C" w:rsidRPr="00956B5F" w:rsidRDefault="00994E0C" w:rsidP="00F43F80"/>
    <w:p w:rsidR="00190EED" w:rsidRPr="00956B5F" w:rsidRDefault="00190EED">
      <w:pPr>
        <w:pStyle w:val="Antrat"/>
      </w:pPr>
      <w:bookmarkStart w:id="2" w:name="_Toc3124701"/>
      <w:r w:rsidRPr="00956B5F">
        <w:t>Neurodegenerative Diseases</w:t>
      </w:r>
      <w:bookmarkEnd w:id="2"/>
    </w:p>
    <w:p w:rsidR="00190EED" w:rsidRPr="00956B5F" w:rsidRDefault="00190EED">
      <w:pPr>
        <w:spacing w:after="120"/>
      </w:pPr>
      <w:r w:rsidRPr="00956B5F">
        <w:t xml:space="preserve">- diseases of </w:t>
      </w:r>
      <w:r w:rsidRPr="00956B5F">
        <w:rPr>
          <w:b/>
          <w:bCs/>
        </w:rPr>
        <w:t>gray matter</w:t>
      </w:r>
      <w:r w:rsidRPr="00956B5F">
        <w:t xml:space="preserve"> - </w:t>
      </w:r>
      <w:r w:rsidRPr="00956B5F">
        <w:rPr>
          <w:i/>
          <w:iCs/>
          <w:highlight w:val="yellow"/>
        </w:rPr>
        <w:t>progressive loss of neurons</w:t>
      </w:r>
      <w:r w:rsidRPr="00956B5F">
        <w:t xml:space="preserve"> with associated secondary </w:t>
      </w:r>
      <w:r w:rsidRPr="00956B5F">
        <w:rPr>
          <w:b/>
          <w:bCs/>
        </w:rPr>
        <w:t>white matter</w:t>
      </w:r>
      <w:r w:rsidRPr="00956B5F">
        <w:t xml:space="preserve"> changes.</w:t>
      </w:r>
    </w:p>
    <w:p w:rsidR="00190EED" w:rsidRPr="00956B5F" w:rsidRDefault="001F4255" w:rsidP="001F4255">
      <w:pPr>
        <w:pStyle w:val="NormalWeb"/>
        <w:numPr>
          <w:ilvl w:val="0"/>
          <w:numId w:val="5"/>
        </w:numPr>
      </w:pPr>
      <w:r w:rsidRPr="00956B5F">
        <w:t>n</w:t>
      </w:r>
      <w:r w:rsidR="00190EED" w:rsidRPr="00956B5F">
        <w:t xml:space="preserve">euronal loss is </w:t>
      </w:r>
      <w:r w:rsidR="00190EED" w:rsidRPr="00956B5F">
        <w:rPr>
          <w:b/>
          <w:bCs/>
          <w:i/>
          <w:iCs/>
          <w:color w:val="0000FF"/>
        </w:rPr>
        <w:t>selective</w:t>
      </w:r>
      <w:r w:rsidR="00190EED" w:rsidRPr="00956B5F">
        <w:rPr>
          <w:i/>
          <w:iCs/>
        </w:rPr>
        <w:t xml:space="preserve"> - affects one related groups of neurons, while others leaving intact</w:t>
      </w:r>
      <w:r w:rsidR="00190EED" w:rsidRPr="00956B5F">
        <w:t xml:space="preserve"> – “</w:t>
      </w:r>
      <w:r w:rsidR="00190EED" w:rsidRPr="00956B5F">
        <w:rPr>
          <w:smallCaps/>
        </w:rPr>
        <w:t>system degenerations</w:t>
      </w:r>
      <w:r w:rsidR="00190EED" w:rsidRPr="00956B5F">
        <w:t>”.</w:t>
      </w:r>
    </w:p>
    <w:p w:rsidR="001F4255" w:rsidRPr="00956B5F" w:rsidRDefault="001F4255" w:rsidP="001F4255">
      <w:pPr>
        <w:rPr>
          <w:u w:val="single"/>
        </w:rPr>
      </w:pPr>
    </w:p>
    <w:p w:rsidR="00994E0C" w:rsidRDefault="00190EED" w:rsidP="00994E0C">
      <w:pPr>
        <w:pStyle w:val="Nervous6"/>
        <w:ind w:right="8646"/>
      </w:pPr>
      <w:bookmarkStart w:id="3" w:name="_Toc3124702"/>
      <w:r w:rsidRPr="00956B5F">
        <w:t>Etiology</w:t>
      </w:r>
      <w:bookmarkEnd w:id="3"/>
    </w:p>
    <w:p w:rsidR="00190EED" w:rsidRPr="00956B5F" w:rsidRDefault="00994E0C" w:rsidP="001F4255">
      <w:r>
        <w:t xml:space="preserve">- </w:t>
      </w:r>
      <w:r w:rsidR="00190EED" w:rsidRPr="00956B5F">
        <w:t xml:space="preserve">unknown (some diseases are inherited) </w:t>
      </w:r>
      <w:r w:rsidR="00ED26D6" w:rsidRPr="00956B5F">
        <w:t xml:space="preserve">– </w:t>
      </w:r>
      <w:r w:rsidR="00190EED" w:rsidRPr="00956B5F">
        <w:t>diseases arise</w:t>
      </w:r>
      <w:r w:rsidR="00190EED" w:rsidRPr="00956B5F">
        <w:rPr>
          <w:i/>
          <w:iCs/>
        </w:rPr>
        <w:t xml:space="preserve"> </w:t>
      </w:r>
      <w:r w:rsidR="00190EED" w:rsidRPr="00956B5F">
        <w:rPr>
          <w:b/>
          <w:bCs/>
          <w:i/>
          <w:iCs/>
          <w:color w:val="0000FF"/>
        </w:rPr>
        <w:t>without any clear inciting event</w:t>
      </w:r>
      <w:r w:rsidR="00190EED" w:rsidRPr="00956B5F">
        <w:rPr>
          <w:i/>
          <w:iCs/>
        </w:rPr>
        <w:t xml:space="preserve"> </w:t>
      </w:r>
      <w:r w:rsidR="00190EED" w:rsidRPr="00956B5F">
        <w:t xml:space="preserve">in patients </w:t>
      </w:r>
      <w:r w:rsidR="00190EED" w:rsidRPr="00956B5F">
        <w:rPr>
          <w:i/>
          <w:iCs/>
        </w:rPr>
        <w:t>without previous neurologic deficits</w:t>
      </w:r>
      <w:r w:rsidR="00190EED" w:rsidRPr="00956B5F">
        <w:t>.</w:t>
      </w:r>
    </w:p>
    <w:p w:rsidR="001F4255" w:rsidRPr="00956B5F" w:rsidRDefault="001F4255" w:rsidP="001F4255">
      <w:pPr>
        <w:rPr>
          <w:u w:val="single"/>
        </w:rPr>
      </w:pPr>
    </w:p>
    <w:p w:rsidR="00994E0C" w:rsidRDefault="00C8616C" w:rsidP="00994E0C">
      <w:pPr>
        <w:pStyle w:val="Nervous6"/>
        <w:ind w:right="7512"/>
      </w:pPr>
      <w:bookmarkStart w:id="4" w:name="_Toc3124703"/>
      <w:r w:rsidRPr="00956B5F">
        <w:t>Clinical hallmark</w:t>
      </w:r>
      <w:bookmarkEnd w:id="4"/>
    </w:p>
    <w:p w:rsidR="00C8616C" w:rsidRPr="00956B5F" w:rsidRDefault="00C8616C" w:rsidP="001F4255">
      <w:r w:rsidRPr="00956B5F">
        <w:t xml:space="preserve">- </w:t>
      </w:r>
      <w:r w:rsidRPr="00956B5F">
        <w:rPr>
          <w:b/>
          <w:i/>
          <w:color w:val="FF0000"/>
        </w:rPr>
        <w:t>progressive deterioration of neurologic function</w:t>
      </w:r>
      <w:r w:rsidRPr="00956B5F">
        <w:t xml:space="preserve"> (with loss of speech, vision, hearing, locomotion, often associated with seizures, feeding difficulties, intellect impairment).</w:t>
      </w:r>
    </w:p>
    <w:p w:rsidR="00190EED" w:rsidRPr="00956B5F" w:rsidRDefault="00190EED" w:rsidP="00C8616C">
      <w:pPr>
        <w:ind w:left="1440"/>
      </w:pPr>
      <w:r w:rsidRPr="00956B5F">
        <w:t xml:space="preserve">Most common clinical manifestations – </w:t>
      </w:r>
      <w:r w:rsidRPr="00956B5F">
        <w:rPr>
          <w:color w:val="FF0000"/>
        </w:rPr>
        <w:t>seizures &amp; dementia</w:t>
      </w:r>
      <w:r w:rsidR="00C8616C" w:rsidRPr="00956B5F">
        <w:t>!</w:t>
      </w:r>
    </w:p>
    <w:p w:rsidR="00190EED" w:rsidRPr="00956B5F" w:rsidRDefault="00190EED" w:rsidP="00C8616C">
      <w:pPr>
        <w:ind w:left="720"/>
      </w:pPr>
    </w:p>
    <w:p w:rsidR="00994E0C" w:rsidRDefault="00822EB9" w:rsidP="00994E0C">
      <w:pPr>
        <w:pStyle w:val="Nervous6"/>
        <w:ind w:right="6803"/>
      </w:pPr>
      <w:bookmarkStart w:id="5" w:name="_Toc3124704"/>
      <w:r w:rsidRPr="00956B5F">
        <w:t>N</w:t>
      </w:r>
      <w:r w:rsidR="00190EED" w:rsidRPr="00956B5F">
        <w:t>europathologic findings</w:t>
      </w:r>
      <w:bookmarkEnd w:id="5"/>
    </w:p>
    <w:p w:rsidR="00190EED" w:rsidRPr="00956B5F" w:rsidRDefault="00994E0C" w:rsidP="00822EB9">
      <w:r>
        <w:t xml:space="preserve">- </w:t>
      </w:r>
      <w:r w:rsidR="00190EED" w:rsidRPr="00956B5F">
        <w:t>differ greatly:</w:t>
      </w:r>
    </w:p>
    <w:p w:rsidR="00190EED" w:rsidRPr="00956B5F" w:rsidRDefault="00190EED">
      <w:pPr>
        <w:numPr>
          <w:ilvl w:val="0"/>
          <w:numId w:val="3"/>
        </w:numPr>
      </w:pPr>
      <w:r w:rsidRPr="00956B5F">
        <w:t xml:space="preserve">specific </w:t>
      </w:r>
      <w:r w:rsidRPr="00956B5F">
        <w:rPr>
          <w:b/>
        </w:rPr>
        <w:t>intracellular</w:t>
      </w:r>
      <w:r w:rsidRPr="00956B5F">
        <w:t xml:space="preserve"> abnormalities (e.g. Lewy bodies, neurofibrillary tangles).</w:t>
      </w:r>
    </w:p>
    <w:p w:rsidR="00190EED" w:rsidRPr="00956B5F" w:rsidRDefault="00190EED">
      <w:pPr>
        <w:numPr>
          <w:ilvl w:val="0"/>
          <w:numId w:val="3"/>
        </w:numPr>
      </w:pPr>
      <w:r w:rsidRPr="00956B5F">
        <w:t xml:space="preserve">only loss of affected </w:t>
      </w:r>
      <w:r w:rsidRPr="00956B5F">
        <w:rPr>
          <w:b/>
        </w:rPr>
        <w:t>neurons</w:t>
      </w:r>
      <w:r w:rsidRPr="00956B5F">
        <w:t xml:space="preserve"> (accompanied by neuronophagia and reactive fibrillary </w:t>
      </w:r>
      <w:r w:rsidRPr="00956B5F">
        <w:rPr>
          <w:b/>
        </w:rPr>
        <w:t>gliosis</w:t>
      </w:r>
      <w:r w:rsidRPr="00956B5F">
        <w:t>).</w:t>
      </w:r>
    </w:p>
    <w:p w:rsidR="00822EB9" w:rsidRPr="00956B5F" w:rsidRDefault="00822EB9" w:rsidP="00822EB9"/>
    <w:p w:rsidR="00994E0C" w:rsidRDefault="00822EB9" w:rsidP="00994E0C">
      <w:pPr>
        <w:pStyle w:val="Nervous6"/>
        <w:ind w:right="8646"/>
      </w:pPr>
      <w:bookmarkStart w:id="6" w:name="_Toc3124705"/>
      <w:r w:rsidRPr="00956B5F">
        <w:t>C</w:t>
      </w:r>
      <w:r w:rsidR="00190EED" w:rsidRPr="00956B5F">
        <w:t>lassified</w:t>
      </w:r>
      <w:bookmarkEnd w:id="6"/>
    </w:p>
    <w:p w:rsidR="00190EED" w:rsidRPr="00956B5F" w:rsidRDefault="00994E0C" w:rsidP="00822EB9">
      <w:r>
        <w:t xml:space="preserve">- </w:t>
      </w:r>
      <w:r w:rsidR="00190EED" w:rsidRPr="00956B5F">
        <w:t xml:space="preserve">according to </w:t>
      </w:r>
      <w:r w:rsidR="00190EED" w:rsidRPr="00956B5F">
        <w:rPr>
          <w:color w:val="0000FF"/>
        </w:rPr>
        <w:t>CNS anatomic regions</w:t>
      </w:r>
      <w:r w:rsidR="00190EED" w:rsidRPr="00956B5F">
        <w:t xml:space="preserve"> that are </w:t>
      </w:r>
      <w:r w:rsidR="00190EED" w:rsidRPr="00956B5F">
        <w:rPr>
          <w:smallCaps/>
        </w:rPr>
        <w:t>primarily</w:t>
      </w:r>
      <w:r w:rsidR="00190EED" w:rsidRPr="00956B5F">
        <w:t xml:space="preserve"> affected:</w:t>
      </w:r>
    </w:p>
    <w:p w:rsidR="00190EED" w:rsidRPr="00956B5F" w:rsidRDefault="00190EED">
      <w:pPr>
        <w:numPr>
          <w:ilvl w:val="0"/>
          <w:numId w:val="4"/>
        </w:numPr>
      </w:pPr>
      <w:r w:rsidRPr="00956B5F">
        <w:t>cerebral cortex (e.g. Alzheimer disease)</w:t>
      </w:r>
    </w:p>
    <w:p w:rsidR="00190EED" w:rsidRPr="00956B5F" w:rsidRDefault="00190EED">
      <w:pPr>
        <w:numPr>
          <w:ilvl w:val="0"/>
          <w:numId w:val="4"/>
        </w:numPr>
      </w:pPr>
      <w:r w:rsidRPr="00956B5F">
        <w:t>subcortical areas (e.g. Huntington disease, Parkinson disease, Wilson disease)</w:t>
      </w:r>
    </w:p>
    <w:p w:rsidR="00190EED" w:rsidRPr="00956B5F" w:rsidRDefault="00190EED">
      <w:pPr>
        <w:numPr>
          <w:ilvl w:val="0"/>
          <w:numId w:val="4"/>
        </w:numPr>
      </w:pPr>
      <w:r w:rsidRPr="00956B5F">
        <w:t>cerebellum (e.g. spinocerebellar ataxias)</w:t>
      </w:r>
    </w:p>
    <w:p w:rsidR="00190EED" w:rsidRPr="00956B5F" w:rsidRDefault="00190EED">
      <w:pPr>
        <w:numPr>
          <w:ilvl w:val="0"/>
          <w:numId w:val="4"/>
        </w:numPr>
      </w:pPr>
      <w:r w:rsidRPr="00956B5F">
        <w:t>diffuse (e.g. Tay-Sachs disease, Gaucher disease, Niemann-Pick disease)</w:t>
      </w:r>
    </w:p>
    <w:p w:rsidR="00190EED" w:rsidRPr="00956B5F" w:rsidRDefault="00190EED">
      <w:pPr>
        <w:numPr>
          <w:ilvl w:val="0"/>
          <w:numId w:val="4"/>
        </w:numPr>
      </w:pPr>
      <w:r w:rsidRPr="00956B5F">
        <w:t>dorsal root ganglia (</w:t>
      </w:r>
      <w:r w:rsidR="00236AFD" w:rsidRPr="00956B5F">
        <w:t xml:space="preserve">e.g. </w:t>
      </w:r>
      <w:r w:rsidRPr="00956B5F">
        <w:t>Fabry disease)</w:t>
      </w:r>
    </w:p>
    <w:p w:rsidR="00190EED" w:rsidRPr="00956B5F" w:rsidRDefault="00190EED"/>
    <w:p w:rsidR="0031767F" w:rsidRPr="00956B5F" w:rsidRDefault="0031767F" w:rsidP="00994E0C">
      <w:pPr>
        <w:pStyle w:val="Nervous6"/>
        <w:ind w:right="8646"/>
      </w:pPr>
      <w:bookmarkStart w:id="7" w:name="_Toc3124706"/>
      <w:r w:rsidRPr="00956B5F">
        <w:t>Diagnosis</w:t>
      </w:r>
      <w:bookmarkEnd w:id="7"/>
    </w:p>
    <w:p w:rsidR="0031767F" w:rsidRPr="00956B5F" w:rsidRDefault="0031767F" w:rsidP="0031767F">
      <w:pPr>
        <w:pStyle w:val="NormalWeb"/>
        <w:numPr>
          <w:ilvl w:val="0"/>
          <w:numId w:val="5"/>
        </w:numPr>
      </w:pPr>
      <w:r w:rsidRPr="00956B5F">
        <w:t xml:space="preserve">until recently, routine </w:t>
      </w:r>
      <w:r w:rsidRPr="00956B5F">
        <w:rPr>
          <w:color w:val="0000FF"/>
        </w:rPr>
        <w:t>brain and rectal biopsies</w:t>
      </w:r>
      <w:r w:rsidR="005F04A0" w:rsidRPr="00956B5F">
        <w:t xml:space="preserve"> were performed; </w:t>
      </w:r>
      <w:r w:rsidRPr="00956B5F">
        <w:t xml:space="preserve">with advent of modern </w:t>
      </w:r>
      <w:r w:rsidRPr="00956B5F">
        <w:rPr>
          <w:color w:val="0000FF"/>
        </w:rPr>
        <w:t>neuroimaging</w:t>
      </w:r>
      <w:r w:rsidRPr="00956B5F">
        <w:t xml:space="preserve"> and </w:t>
      </w:r>
      <w:r w:rsidRPr="00956B5F">
        <w:rPr>
          <w:color w:val="0000FF"/>
        </w:rPr>
        <w:t>biochemical</w:t>
      </w:r>
      <w:r w:rsidRPr="00956B5F">
        <w:t xml:space="preserve"> diagnostic tests, these invasive procedures are now rarely necessary.</w:t>
      </w:r>
    </w:p>
    <w:p w:rsidR="003A2CF5" w:rsidRDefault="003A2CF5"/>
    <w:p w:rsidR="00994E0C" w:rsidRPr="00956B5F" w:rsidRDefault="00994E0C"/>
    <w:p w:rsidR="00190EED" w:rsidRPr="00956B5F" w:rsidRDefault="00190EED">
      <w:pPr>
        <w:pStyle w:val="Nervous1"/>
      </w:pPr>
      <w:bookmarkStart w:id="8" w:name="_Toc114732293"/>
      <w:bookmarkStart w:id="9" w:name="_Toc3124707"/>
      <w:r w:rsidRPr="00956B5F">
        <w:t>Trinucleotide repeat diseases</w:t>
      </w:r>
      <w:bookmarkEnd w:id="8"/>
      <w:r w:rsidR="00C03AE3" w:rsidRPr="00956B5F">
        <w:t xml:space="preserve"> (TRD)</w:t>
      </w:r>
      <w:bookmarkEnd w:id="9"/>
    </w:p>
    <w:p w:rsidR="00190EED" w:rsidRPr="00956B5F" w:rsidRDefault="00190EED">
      <w:pPr>
        <w:pStyle w:val="NormalWeb"/>
      </w:pPr>
      <w:r w:rsidRPr="00956B5F">
        <w:t xml:space="preserve">- genetic diseases affecting nervous system characterized by </w:t>
      </w:r>
      <w:r w:rsidRPr="00956B5F">
        <w:rPr>
          <w:b/>
          <w:bCs/>
        </w:rPr>
        <w:t>trinucleotide repeat</w:t>
      </w:r>
      <w:r w:rsidRPr="00956B5F">
        <w:t xml:space="preserve"> expansion (i.e. </w:t>
      </w:r>
      <w:r w:rsidRPr="00956B5F">
        <w:rPr>
          <w:highlight w:val="yellow"/>
        </w:rPr>
        <w:t>expansion of normal genome by runs of three DNA bases</w:t>
      </w:r>
      <w:r w:rsidRPr="00956B5F">
        <w:t>).</w:t>
      </w:r>
    </w:p>
    <w:p w:rsidR="00236EAD" w:rsidRPr="00956B5F" w:rsidRDefault="00190EED" w:rsidP="00236EAD">
      <w:pPr>
        <w:pStyle w:val="NormalWeb"/>
        <w:numPr>
          <w:ilvl w:val="0"/>
          <w:numId w:val="5"/>
        </w:numPr>
      </w:pPr>
      <w:r w:rsidRPr="00956B5F">
        <w:t xml:space="preserve">can be </w:t>
      </w:r>
      <w:r w:rsidRPr="00956B5F">
        <w:rPr>
          <w:u w:val="single"/>
        </w:rPr>
        <w:t>inherited</w:t>
      </w:r>
      <w:r w:rsidRPr="00956B5F">
        <w:t xml:space="preserve"> as </w:t>
      </w:r>
      <w:r w:rsidRPr="00956B5F">
        <w:rPr>
          <w:b/>
          <w:i/>
          <w:color w:val="0000FF"/>
        </w:rPr>
        <w:t>autosomal dominant</w:t>
      </w:r>
      <w:r w:rsidR="00AC2884" w:rsidRPr="00956B5F">
        <w:t xml:space="preserve"> (most commonly)</w:t>
      </w:r>
      <w:r w:rsidRPr="00956B5F">
        <w:t xml:space="preserve">, </w:t>
      </w:r>
      <w:r w:rsidR="00AC2884" w:rsidRPr="00956B5F">
        <w:t xml:space="preserve">autosomal </w:t>
      </w:r>
      <w:r w:rsidRPr="00956B5F">
        <w:t>recessive, or X-linked disorders.</w:t>
      </w:r>
    </w:p>
    <w:p w:rsidR="00236EAD" w:rsidRPr="00956B5F" w:rsidRDefault="00236EAD" w:rsidP="00236EAD">
      <w:pPr>
        <w:pStyle w:val="NormalWeb"/>
        <w:numPr>
          <w:ilvl w:val="0"/>
          <w:numId w:val="5"/>
        </w:numPr>
      </w:pPr>
      <w:r w:rsidRPr="00956B5F">
        <w:t>mechanism for trinucleotide expansion is not well understood.</w:t>
      </w:r>
    </w:p>
    <w:p w:rsidR="00190EED" w:rsidRPr="00956B5F" w:rsidRDefault="00190EED">
      <w:pPr>
        <w:pStyle w:val="NormalWeb"/>
        <w:numPr>
          <w:ilvl w:val="0"/>
          <w:numId w:val="5"/>
        </w:numPr>
      </w:pPr>
      <w:r w:rsidRPr="00956B5F">
        <w:t>most involve CAG repeats; others involve CGG repeats, CTG repeats - all these are in exons (GAA repeat in intron causes Friedreich's ataxia).</w:t>
      </w:r>
    </w:p>
    <w:p w:rsidR="00C03AE3" w:rsidRPr="00956B5F" w:rsidRDefault="00C03AE3">
      <w:pPr>
        <w:pStyle w:val="NormalWeb"/>
        <w:numPr>
          <w:ilvl w:val="0"/>
          <w:numId w:val="5"/>
        </w:numPr>
      </w:pPr>
      <w:r w:rsidRPr="00956B5F">
        <w:t>repeat involves:</w:t>
      </w:r>
    </w:p>
    <w:p w:rsidR="00C03AE3" w:rsidRPr="00956B5F" w:rsidRDefault="00190EED">
      <w:pPr>
        <w:pStyle w:val="NormalWeb"/>
        <w:numPr>
          <w:ilvl w:val="0"/>
          <w:numId w:val="7"/>
        </w:numPr>
      </w:pPr>
      <w:r w:rsidRPr="00956B5F">
        <w:rPr>
          <w:b/>
          <w:bCs/>
        </w:rPr>
        <w:t>coding region (exon)</w:t>
      </w:r>
      <w:r w:rsidRPr="00956B5F">
        <w:t xml:space="preserve"> → </w:t>
      </w:r>
      <w:r w:rsidRPr="00956B5F">
        <w:rPr>
          <w:color w:val="0000FF"/>
        </w:rPr>
        <w:t>adult-onset, gain-of-function</w:t>
      </w:r>
      <w:r w:rsidR="00C03AE3" w:rsidRPr="00956B5F">
        <w:t xml:space="preserve"> disorders.</w:t>
      </w:r>
    </w:p>
    <w:p w:rsidR="00190EED" w:rsidRPr="00956B5F" w:rsidRDefault="00190EED">
      <w:pPr>
        <w:pStyle w:val="NormalWeb"/>
        <w:numPr>
          <w:ilvl w:val="0"/>
          <w:numId w:val="7"/>
        </w:numPr>
      </w:pPr>
      <w:r w:rsidRPr="00956B5F">
        <w:rPr>
          <w:b/>
          <w:bCs/>
        </w:rPr>
        <w:t>noncoding region (intron)</w:t>
      </w:r>
      <w:r w:rsidRPr="00956B5F">
        <w:t xml:space="preserve"> → </w:t>
      </w:r>
      <w:r w:rsidRPr="00956B5F">
        <w:rPr>
          <w:color w:val="0000FF"/>
        </w:rPr>
        <w:t>early-onset, loss of function</w:t>
      </w:r>
      <w:r w:rsidRPr="00956B5F">
        <w:t xml:space="preserve"> disor</w:t>
      </w:r>
      <w:r w:rsidR="00C03AE3" w:rsidRPr="00956B5F">
        <w:t>ders involving multiple organs.</w:t>
      </w:r>
    </w:p>
    <w:p w:rsidR="00C03AE3" w:rsidRPr="00956B5F" w:rsidRDefault="00C03AE3">
      <w:pPr>
        <w:pStyle w:val="NormalWeb"/>
        <w:numPr>
          <w:ilvl w:val="0"/>
          <w:numId w:val="7"/>
        </w:numPr>
      </w:pPr>
      <w:r w:rsidRPr="00956B5F">
        <w:t xml:space="preserve">genetic sequence </w:t>
      </w:r>
      <w:r w:rsidRPr="00956B5F">
        <w:rPr>
          <w:b/>
        </w:rPr>
        <w:t>outside of gene</w:t>
      </w:r>
      <w:r w:rsidRPr="00956B5F">
        <w:t xml:space="preserve"> in 5' or 3' untranslated region (e.g. fragile X gene, myotonic dystrophy gene).</w:t>
      </w:r>
    </w:p>
    <w:p w:rsidR="00190EED" w:rsidRDefault="00190EED">
      <w:pPr>
        <w:pStyle w:val="NormalWeb"/>
      </w:pPr>
    </w:p>
    <w:p w:rsidR="00B878D1" w:rsidRPr="00956B5F" w:rsidRDefault="00B878D1">
      <w:pPr>
        <w:pStyle w:val="NormalWeb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6"/>
        <w:gridCol w:w="3076"/>
        <w:gridCol w:w="1119"/>
        <w:gridCol w:w="1399"/>
        <w:gridCol w:w="1456"/>
      </w:tblGrid>
      <w:tr w:rsidR="00190EED" w:rsidRPr="00956B5F">
        <w:trPr>
          <w:tblHeader/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90EED" w:rsidRPr="00956B5F" w:rsidRDefault="00190EED">
            <w:pPr>
              <w:jc w:val="center"/>
              <w:rPr>
                <w:b/>
                <w:bCs/>
              </w:rPr>
            </w:pPr>
            <w:r w:rsidRPr="00956B5F">
              <w:rPr>
                <w:b/>
                <w:bCs/>
              </w:rPr>
              <w:t>Disease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90EED" w:rsidRPr="00956B5F" w:rsidRDefault="00190EED">
            <w:pPr>
              <w:jc w:val="center"/>
              <w:rPr>
                <w:b/>
                <w:bCs/>
              </w:rPr>
            </w:pPr>
            <w:r w:rsidRPr="00956B5F">
              <w:rPr>
                <w:b/>
                <w:bCs/>
              </w:rPr>
              <w:t>Chromosome -</w:t>
            </w:r>
            <w:r w:rsidR="00630FCD">
              <w:rPr>
                <w:b/>
                <w:bCs/>
              </w:rPr>
              <w:t xml:space="preserve"> </w:t>
            </w:r>
            <w:r w:rsidRPr="00630FCD">
              <w:rPr>
                <w:b/>
                <w:bCs/>
                <w:color w:val="FF0000"/>
              </w:rPr>
              <w:t>Gene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90EED" w:rsidRPr="00956B5F" w:rsidRDefault="00190EED">
            <w:pPr>
              <w:jc w:val="center"/>
              <w:rPr>
                <w:b/>
                <w:bCs/>
              </w:rPr>
            </w:pPr>
            <w:r w:rsidRPr="00956B5F">
              <w:rPr>
                <w:b/>
                <w:bCs/>
              </w:rPr>
              <w:t>Triplet Repeat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90EED" w:rsidRPr="00956B5F" w:rsidRDefault="00190EED">
            <w:pPr>
              <w:jc w:val="center"/>
              <w:rPr>
                <w:b/>
                <w:bCs/>
              </w:rPr>
            </w:pPr>
            <w:r w:rsidRPr="00956B5F">
              <w:rPr>
                <w:b/>
                <w:bCs/>
              </w:rPr>
              <w:t>Normal Size Repeat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90EED" w:rsidRPr="00956B5F" w:rsidRDefault="00190EED">
            <w:pPr>
              <w:jc w:val="center"/>
              <w:rPr>
                <w:b/>
                <w:bCs/>
              </w:rPr>
            </w:pPr>
            <w:r w:rsidRPr="00956B5F">
              <w:rPr>
                <w:b/>
                <w:bCs/>
              </w:rPr>
              <w:t>Expanded Repeat Size</w:t>
            </w:r>
          </w:p>
        </w:tc>
      </w:tr>
      <w:tr w:rsidR="00784815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rPr>
                <w:b/>
              </w:rPr>
              <w:t>Fragile X</w:t>
            </w:r>
            <w:r w:rsidRPr="00956B5F">
              <w:t xml:space="preserve"> syndrome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pPr>
              <w:pStyle w:val="Heading2"/>
            </w:pPr>
            <w:r w:rsidRPr="00956B5F">
              <w:t>FMR-1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CGG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2-50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&gt; 200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rPr>
                <w:b/>
              </w:rPr>
              <w:t>Huntington</w:t>
            </w:r>
            <w:r w:rsidRPr="00956B5F">
              <w:t xml:space="preserve"> disease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4p16.3 - </w:t>
            </w:r>
            <w:r w:rsidRPr="00956B5F">
              <w:rPr>
                <w:b/>
                <w:bCs/>
                <w:color w:val="FF0000"/>
              </w:rPr>
              <w:t>huntingtin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11-34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37-121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rPr>
                <w:b/>
              </w:rPr>
              <w:t>Friedreich's</w:t>
            </w:r>
            <w:r w:rsidRPr="00956B5F">
              <w:t xml:space="preserve"> ataxia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9q13 - </w:t>
            </w:r>
            <w:r w:rsidRPr="00956B5F">
              <w:rPr>
                <w:b/>
                <w:bCs/>
                <w:color w:val="FF0000"/>
              </w:rPr>
              <w:t>frataxin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GAA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7-22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200-900</w:t>
            </w:r>
          </w:p>
        </w:tc>
      </w:tr>
      <w:tr w:rsidR="00784815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rPr>
                <w:b/>
              </w:rPr>
              <w:t>Myotonic</w:t>
            </w:r>
            <w:r w:rsidRPr="00956B5F">
              <w:t xml:space="preserve"> </w:t>
            </w:r>
            <w:r w:rsidRPr="00956B5F">
              <w:rPr>
                <w:b/>
              </w:rPr>
              <w:t>dystrophy</w:t>
            </w:r>
            <w:r w:rsidRPr="00956B5F">
              <w:t xml:space="preserve"> (s. Steinert disease)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 xml:space="preserve">19q13.2-3 - </w:t>
            </w:r>
            <w:r w:rsidRPr="00956B5F">
              <w:rPr>
                <w:b/>
                <w:bCs/>
                <w:color w:val="FF0000"/>
              </w:rPr>
              <w:t>DM protein kinase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CTG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5-30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815" w:rsidRPr="00956B5F" w:rsidRDefault="00784815" w:rsidP="00D84365">
            <w:r w:rsidRPr="00956B5F">
              <w:t>50-thousands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B878D1" w:rsidRDefault="00B878D1">
            <w:pPr>
              <w:rPr>
                <w:b/>
              </w:rPr>
            </w:pPr>
            <w:r w:rsidRPr="00B878D1">
              <w:rPr>
                <w:b/>
              </w:rPr>
              <w:t>Spinocerebellar ataxia 1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6p21.3 - </w:t>
            </w:r>
            <w:r w:rsidRPr="00956B5F">
              <w:rPr>
                <w:b/>
                <w:bCs/>
                <w:color w:val="FF0000"/>
              </w:rPr>
              <w:t>ataxin-1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6-39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40-81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B878D1">
            <w:r w:rsidRPr="00B878D1">
              <w:rPr>
                <w:b/>
              </w:rPr>
              <w:t>Spinocerebellar ataxia</w:t>
            </w:r>
            <w:r>
              <w:rPr>
                <w:b/>
              </w:rPr>
              <w:t xml:space="preserve"> 2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12q23-24 - </w:t>
            </w:r>
            <w:r w:rsidRPr="00956B5F">
              <w:rPr>
                <w:b/>
                <w:bCs/>
                <w:color w:val="FF0000"/>
              </w:rPr>
              <w:t>ataxin-2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15-29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35-59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B878D1">
            <w:r w:rsidRPr="00B878D1">
              <w:rPr>
                <w:b/>
              </w:rPr>
              <w:t>Spinocerebellar ataxia</w:t>
            </w:r>
            <w:r>
              <w:rPr>
                <w:b/>
              </w:rPr>
              <w:t xml:space="preserve"> 3</w:t>
            </w:r>
            <w:r w:rsidRPr="00B878D1">
              <w:rPr>
                <w:b/>
              </w:rPr>
              <w:t xml:space="preserve"> </w:t>
            </w:r>
            <w:r w:rsidR="00190EED" w:rsidRPr="00956B5F">
              <w:t>(Machado-Joseph disease)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14q24.3-qter - </w:t>
            </w:r>
            <w:r w:rsidRPr="00956B5F">
              <w:rPr>
                <w:b/>
                <w:bCs/>
                <w:color w:val="FF0000"/>
              </w:rPr>
              <w:t>ataxin-3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12-40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67-200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B878D1">
            <w:r w:rsidRPr="00B878D1">
              <w:rPr>
                <w:b/>
              </w:rPr>
              <w:lastRenderedPageBreak/>
              <w:t>Spinocerebellar ataxia</w:t>
            </w:r>
            <w:r>
              <w:rPr>
                <w:b/>
              </w:rPr>
              <w:t xml:space="preserve"> 6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19p13.1 - </w:t>
            </w:r>
            <w:r w:rsidRPr="00956B5F">
              <w:rPr>
                <w:b/>
                <w:bCs/>
                <w:color w:val="FF0000"/>
              </w:rPr>
              <w:t>α</w:t>
            </w:r>
            <w:r w:rsidRPr="00956B5F">
              <w:rPr>
                <w:b/>
                <w:bCs/>
                <w:color w:val="FF0000"/>
                <w:vertAlign w:val="subscript"/>
              </w:rPr>
              <w:t>1A</w:t>
            </w:r>
            <w:r w:rsidRPr="00956B5F">
              <w:rPr>
                <w:b/>
                <w:bCs/>
                <w:color w:val="FF0000"/>
              </w:rPr>
              <w:t xml:space="preserve"> voltage-dependent Ca</w:t>
            </w:r>
            <w:r w:rsidRPr="00956B5F">
              <w:rPr>
                <w:b/>
                <w:bCs/>
                <w:color w:val="FF0000"/>
                <w:vertAlign w:val="superscript"/>
              </w:rPr>
              <w:t>2+</w:t>
            </w:r>
            <w:r w:rsidRPr="00956B5F">
              <w:rPr>
                <w:b/>
                <w:bCs/>
                <w:color w:val="FF0000"/>
              </w:rPr>
              <w:t xml:space="preserve"> channel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4-16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21-27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B878D1">
            <w:r w:rsidRPr="00B878D1">
              <w:rPr>
                <w:b/>
              </w:rPr>
              <w:t>Spinocerebellar ataxia</w:t>
            </w:r>
            <w:r>
              <w:rPr>
                <w:b/>
              </w:rPr>
              <w:t xml:space="preserve"> 7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3p14-21.1 - </w:t>
            </w:r>
            <w:r w:rsidRPr="00956B5F">
              <w:rPr>
                <w:b/>
                <w:bCs/>
                <w:color w:val="FF0000"/>
              </w:rPr>
              <w:t>ataxin-7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/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/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Dentatorubral-pallidoluysian atrophy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12p12.3-13.1 - </w:t>
            </w:r>
            <w:r w:rsidRPr="00956B5F">
              <w:rPr>
                <w:b/>
                <w:bCs/>
                <w:color w:val="FF0000"/>
              </w:rPr>
              <w:t>atrophin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7-23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49-79</w:t>
            </w:r>
          </w:p>
        </w:tc>
      </w:tr>
      <w:tr w:rsidR="00190EED" w:rsidRPr="00956B5F">
        <w:trPr>
          <w:tblCellSpacing w:w="0" w:type="dxa"/>
        </w:trPr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BSMA (bulbospinal muscular atrophy)</w:t>
            </w:r>
          </w:p>
        </w:tc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 xml:space="preserve">Xq11-12 - </w:t>
            </w:r>
            <w:r w:rsidRPr="00956B5F">
              <w:rPr>
                <w:b/>
                <w:bCs/>
                <w:color w:val="FF0000"/>
              </w:rPr>
              <w:t>androgen receptor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CAG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11-33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EED" w:rsidRPr="00956B5F" w:rsidRDefault="00190EED">
            <w:r w:rsidRPr="00956B5F">
              <w:t>40-66</w:t>
            </w:r>
          </w:p>
        </w:tc>
      </w:tr>
    </w:tbl>
    <w:p w:rsidR="00190EED" w:rsidRDefault="00190EED">
      <w:pPr>
        <w:pStyle w:val="NormalWeb"/>
      </w:pPr>
    </w:p>
    <w:p w:rsidR="00B878D1" w:rsidRPr="00956B5F" w:rsidRDefault="00B878D1">
      <w:pPr>
        <w:pStyle w:val="NormalWeb"/>
      </w:pPr>
    </w:p>
    <w:p w:rsidR="00C03AE3" w:rsidRPr="00956B5F" w:rsidRDefault="00C03AE3">
      <w:pPr>
        <w:pStyle w:val="NormalWeb"/>
        <w:numPr>
          <w:ilvl w:val="0"/>
          <w:numId w:val="5"/>
        </w:numPr>
      </w:pPr>
      <w:r w:rsidRPr="00956B5F">
        <w:t xml:space="preserve">all TRD primarily involve </w:t>
      </w:r>
      <w:r w:rsidRPr="00956B5F">
        <w:rPr>
          <w:shd w:val="clear" w:color="auto" w:fill="FFCCFF"/>
        </w:rPr>
        <w:t>neurologic phenotypes</w:t>
      </w:r>
      <w:r w:rsidRPr="00956B5F">
        <w:t>.</w:t>
      </w:r>
    </w:p>
    <w:p w:rsidR="00190EED" w:rsidRPr="00956B5F" w:rsidRDefault="00190EED">
      <w:pPr>
        <w:pStyle w:val="NormalWeb"/>
        <w:numPr>
          <w:ilvl w:val="0"/>
          <w:numId w:val="5"/>
        </w:numPr>
      </w:pPr>
      <w:r w:rsidRPr="00956B5F">
        <w:rPr>
          <w:i/>
          <w:iCs/>
          <w:color w:val="0000FF"/>
        </w:rPr>
        <w:t>number of repeats</w:t>
      </w:r>
      <w:r w:rsidRPr="00956B5F">
        <w:t xml:space="preserve"> correlates with </w:t>
      </w:r>
      <w:r w:rsidRPr="00956B5F">
        <w:rPr>
          <w:i/>
          <w:iCs/>
          <w:color w:val="0000FF"/>
        </w:rPr>
        <w:t>disease severity</w:t>
      </w:r>
      <w:r w:rsidRPr="00956B5F">
        <w:t>.</w:t>
      </w:r>
    </w:p>
    <w:p w:rsidR="00190EED" w:rsidRPr="00956B5F" w:rsidRDefault="00190EED">
      <w:pPr>
        <w:pStyle w:val="NormalWeb"/>
        <w:numPr>
          <w:ilvl w:val="0"/>
          <w:numId w:val="5"/>
        </w:numPr>
      </w:pPr>
      <w:r w:rsidRPr="00956B5F">
        <w:t xml:space="preserve">repeats are </w:t>
      </w:r>
      <w:r w:rsidRPr="00956B5F">
        <w:rPr>
          <w:b/>
          <w:bCs/>
        </w:rPr>
        <w:t>unstable in gametes</w:t>
      </w:r>
      <w:r w:rsidRPr="00956B5F">
        <w:t xml:space="preserve"> - change in number of repeats is transmitted to next generation, sometimes with decrease in number, but more often with increase (→ earlier disease onset and more severe phenotype in offspring – </w:t>
      </w:r>
      <w:r w:rsidRPr="00851489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anticipation</w:t>
      </w:r>
      <w:r w:rsidRPr="00956B5F">
        <w:t>).</w:t>
      </w:r>
    </w:p>
    <w:p w:rsidR="00C03AE3" w:rsidRPr="00956B5F" w:rsidRDefault="00C03AE3" w:rsidP="00C03AE3">
      <w:pPr>
        <w:pStyle w:val="NormalWeb"/>
        <w:numPr>
          <w:ilvl w:val="1"/>
          <w:numId w:val="5"/>
        </w:numPr>
      </w:pPr>
      <w:r w:rsidRPr="00956B5F">
        <w:t xml:space="preserve">there is frequently predilection for expansion during meiosis in </w:t>
      </w:r>
      <w:r w:rsidRPr="00956B5F">
        <w:rPr>
          <w:b/>
          <w:i/>
        </w:rPr>
        <w:t>parents of one sex</w:t>
      </w:r>
      <w:r w:rsidRPr="00956B5F">
        <w:t xml:space="preserve"> - mother (e.g. fragile X syndrome, myotonic dystrophy) or father (e.g. Huntington disease, spinocerebellar ataxia type I).</w:t>
      </w:r>
    </w:p>
    <w:p w:rsidR="00D75E2F" w:rsidRPr="00956B5F" w:rsidRDefault="00D75E2F">
      <w:pPr>
        <w:pStyle w:val="NormalWeb"/>
        <w:numPr>
          <w:ilvl w:val="0"/>
          <w:numId w:val="5"/>
        </w:numPr>
      </w:pPr>
      <w:r w:rsidRPr="00956B5F">
        <w:t>some disorders have intermediate stage (</w:t>
      </w:r>
      <w:r w:rsidRPr="00851489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premutation</w:t>
      </w:r>
      <w:r w:rsidRPr="00956B5F">
        <w:t>) - expansion beyond normal range, but not enough to cause disorder</w:t>
      </w:r>
    </w:p>
    <w:p w:rsidR="00034E83" w:rsidRPr="00956B5F" w:rsidRDefault="00034E83" w:rsidP="00034E83"/>
    <w:p w:rsidR="00034E83" w:rsidRPr="00956B5F" w:rsidRDefault="00034E83" w:rsidP="00034E83"/>
    <w:p w:rsidR="00034E83" w:rsidRPr="00956B5F" w:rsidRDefault="00034E83" w:rsidP="00034E83"/>
    <w:p w:rsidR="00034E83" w:rsidRPr="00956B5F" w:rsidRDefault="00034E83" w:rsidP="00034E83"/>
    <w:p w:rsidR="00034E83" w:rsidRPr="00956B5F" w:rsidRDefault="00034E83" w:rsidP="00034E83"/>
    <w:p w:rsidR="00034E83" w:rsidRPr="00956B5F" w:rsidRDefault="00034E83" w:rsidP="00034E83"/>
    <w:p w:rsidR="00034E83" w:rsidRPr="00956B5F" w:rsidRDefault="00034E83" w:rsidP="00034E83">
      <w:pPr>
        <w:rPr>
          <w:szCs w:val="24"/>
        </w:rPr>
      </w:pPr>
      <w:r w:rsidRPr="00956B5F">
        <w:rPr>
          <w:smallCaps/>
          <w:szCs w:val="24"/>
          <w:u w:val="single"/>
        </w:rPr>
        <w:t>Bibliography</w:t>
      </w:r>
      <w:r w:rsidRPr="00956B5F">
        <w:rPr>
          <w:szCs w:val="24"/>
        </w:rPr>
        <w:t xml:space="preserve"> for ch. “Metabolic Disorders” → follow this </w:t>
      </w:r>
      <w:hyperlink r:id="rId8" w:tgtFrame="_blank" w:history="1">
        <w:r w:rsidRPr="00956B5F">
          <w:rPr>
            <w:rStyle w:val="Hyperlink"/>
            <w:smallCaps/>
            <w:szCs w:val="24"/>
          </w:rPr>
          <w:t>link</w:t>
        </w:r>
        <w:r w:rsidRPr="00956B5F">
          <w:rPr>
            <w:rStyle w:val="Hyperlink"/>
            <w:szCs w:val="24"/>
          </w:rPr>
          <w:t xml:space="preserve"> &gt;&gt;</w:t>
        </w:r>
      </w:hyperlink>
    </w:p>
    <w:p w:rsidR="00034E83" w:rsidRPr="00956B5F" w:rsidRDefault="00034E83" w:rsidP="00034E83">
      <w:pPr>
        <w:rPr>
          <w:sz w:val="20"/>
        </w:rPr>
      </w:pPr>
    </w:p>
    <w:p w:rsidR="00034E83" w:rsidRPr="00956B5F" w:rsidRDefault="00034E83" w:rsidP="00034E83">
      <w:pPr>
        <w:pBdr>
          <w:bottom w:val="single" w:sz="4" w:space="1" w:color="auto"/>
        </w:pBdr>
        <w:ind w:right="57"/>
        <w:rPr>
          <w:sz w:val="20"/>
        </w:rPr>
      </w:pPr>
    </w:p>
    <w:p w:rsidR="00034E83" w:rsidRPr="00956B5F" w:rsidRDefault="00034E83" w:rsidP="00034E83">
      <w:pPr>
        <w:pBdr>
          <w:bottom w:val="single" w:sz="4" w:space="1" w:color="auto"/>
        </w:pBdr>
        <w:ind w:right="57"/>
        <w:rPr>
          <w:sz w:val="20"/>
        </w:rPr>
      </w:pPr>
    </w:p>
    <w:p w:rsidR="00034E83" w:rsidRPr="00956B5F" w:rsidRDefault="00E10653" w:rsidP="00034E8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034E83" w:rsidRPr="00956B5F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34E83" w:rsidRPr="00956B5F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34E83" w:rsidRPr="00956B5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34E83" w:rsidRPr="00956B5F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34E83" w:rsidRPr="00956B5F" w:rsidRDefault="00E10653" w:rsidP="00034E8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034E83" w:rsidRPr="00956B5F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190EED" w:rsidRPr="00956B5F" w:rsidRDefault="00190EED" w:rsidP="00034E83">
      <w:pPr>
        <w:pStyle w:val="NormalWeb"/>
      </w:pPr>
    </w:p>
    <w:sectPr w:rsidR="00190EED" w:rsidRPr="00956B5F" w:rsidSect="00E24C2F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44" w:rsidRDefault="00062B44">
      <w:r>
        <w:separator/>
      </w:r>
    </w:p>
  </w:endnote>
  <w:endnote w:type="continuationSeparator" w:id="0">
    <w:p w:rsidR="00062B44" w:rsidRDefault="000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44" w:rsidRDefault="00062B44">
      <w:r>
        <w:separator/>
      </w:r>
    </w:p>
  </w:footnote>
  <w:footnote w:type="continuationSeparator" w:id="0">
    <w:p w:rsidR="00062B44" w:rsidRDefault="0006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ED" w:rsidRPr="002452B8" w:rsidRDefault="00851489" w:rsidP="002452B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2B8">
      <w:rPr>
        <w:b/>
        <w:caps/>
      </w:rPr>
      <w:tab/>
    </w:r>
    <w:r w:rsidR="002452B8" w:rsidRPr="002452B8">
      <w:rPr>
        <w:b/>
        <w:smallCaps/>
      </w:rPr>
      <w:t>Degenerative CNS Diseases</w:t>
    </w:r>
    <w:r w:rsidR="002452B8">
      <w:rPr>
        <w:b/>
        <w:bCs/>
        <w:iCs/>
        <w:smallCaps/>
      </w:rPr>
      <w:tab/>
    </w:r>
    <w:r w:rsidR="002452B8">
      <w:t>Met7 (</w:t>
    </w:r>
    <w:r w:rsidR="002452B8">
      <w:fldChar w:fldCharType="begin"/>
    </w:r>
    <w:r w:rsidR="002452B8">
      <w:instrText xml:space="preserve"> PAGE </w:instrText>
    </w:r>
    <w:r w:rsidR="002452B8">
      <w:fldChar w:fldCharType="separate"/>
    </w:r>
    <w:r w:rsidR="00E10653">
      <w:rPr>
        <w:noProof/>
      </w:rPr>
      <w:t>1</w:t>
    </w:r>
    <w:r w:rsidR="002452B8">
      <w:fldChar w:fldCharType="end"/>
    </w:r>
    <w:r w:rsidR="002452B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191"/>
    <w:multiLevelType w:val="hybridMultilevel"/>
    <w:tmpl w:val="355EB718"/>
    <w:lvl w:ilvl="0" w:tplc="9AE26D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96AF7"/>
    <w:multiLevelType w:val="hybridMultilevel"/>
    <w:tmpl w:val="CC7C6C0C"/>
    <w:lvl w:ilvl="0" w:tplc="9C341D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13836D1"/>
    <w:multiLevelType w:val="hybridMultilevel"/>
    <w:tmpl w:val="702003CE"/>
    <w:lvl w:ilvl="0" w:tplc="D040C48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18B7664"/>
    <w:multiLevelType w:val="hybridMultilevel"/>
    <w:tmpl w:val="52862F24"/>
    <w:lvl w:ilvl="0" w:tplc="9AE26D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92A38"/>
    <w:multiLevelType w:val="hybridMultilevel"/>
    <w:tmpl w:val="C832DAC8"/>
    <w:lvl w:ilvl="0" w:tplc="69CAD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F2198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E65CC"/>
    <w:multiLevelType w:val="hybridMultilevel"/>
    <w:tmpl w:val="C832DAC8"/>
    <w:lvl w:ilvl="0" w:tplc="28F219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8F2198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84544"/>
    <w:multiLevelType w:val="hybridMultilevel"/>
    <w:tmpl w:val="0D56DA14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F5"/>
    <w:rsid w:val="00034E83"/>
    <w:rsid w:val="00043935"/>
    <w:rsid w:val="00062B44"/>
    <w:rsid w:val="00134164"/>
    <w:rsid w:val="00190EED"/>
    <w:rsid w:val="001F36F4"/>
    <w:rsid w:val="001F4255"/>
    <w:rsid w:val="00236AFD"/>
    <w:rsid w:val="00236EAD"/>
    <w:rsid w:val="002452B8"/>
    <w:rsid w:val="00270460"/>
    <w:rsid w:val="0031767F"/>
    <w:rsid w:val="003A2CF5"/>
    <w:rsid w:val="003A4479"/>
    <w:rsid w:val="004327BC"/>
    <w:rsid w:val="00491518"/>
    <w:rsid w:val="004E7409"/>
    <w:rsid w:val="004F6014"/>
    <w:rsid w:val="005856CA"/>
    <w:rsid w:val="005F04A0"/>
    <w:rsid w:val="005F446A"/>
    <w:rsid w:val="00622A49"/>
    <w:rsid w:val="00630FCD"/>
    <w:rsid w:val="00657340"/>
    <w:rsid w:val="006A7121"/>
    <w:rsid w:val="00784815"/>
    <w:rsid w:val="00822EB9"/>
    <w:rsid w:val="00824750"/>
    <w:rsid w:val="0084025C"/>
    <w:rsid w:val="00851489"/>
    <w:rsid w:val="00956B5F"/>
    <w:rsid w:val="00994E0C"/>
    <w:rsid w:val="009D7EEA"/>
    <w:rsid w:val="00AC2884"/>
    <w:rsid w:val="00AC5FB4"/>
    <w:rsid w:val="00B30A2D"/>
    <w:rsid w:val="00B3309D"/>
    <w:rsid w:val="00B878D1"/>
    <w:rsid w:val="00BA2AF5"/>
    <w:rsid w:val="00BC445B"/>
    <w:rsid w:val="00BE1492"/>
    <w:rsid w:val="00BF35AF"/>
    <w:rsid w:val="00C03AE3"/>
    <w:rsid w:val="00C8616C"/>
    <w:rsid w:val="00CA0F0F"/>
    <w:rsid w:val="00D75E2F"/>
    <w:rsid w:val="00D84365"/>
    <w:rsid w:val="00E10653"/>
    <w:rsid w:val="00E24C2F"/>
    <w:rsid w:val="00ED26D6"/>
    <w:rsid w:val="00F43F80"/>
    <w:rsid w:val="00FA6F03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DD5550-3D9E-49C3-8C18-DB27B3F0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C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994E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630FC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30F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30FC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30FC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30FC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30FCD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630FC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30FC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30FC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30FC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630FCD"/>
    <w:rPr>
      <w:color w:val="999999"/>
      <w:u w:val="none"/>
    </w:rPr>
  </w:style>
  <w:style w:type="paragraph" w:customStyle="1" w:styleId="Nervous4">
    <w:name w:val="Nervous 4"/>
    <w:basedOn w:val="Normal"/>
    <w:rsid w:val="00630F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30FC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630FCD"/>
    <w:pPr>
      <w:spacing w:before="240"/>
      <w:jc w:val="center"/>
    </w:pPr>
    <w:rPr>
      <w:b/>
      <w:bCs/>
      <w:i/>
      <w:iCs/>
      <w:sz w:val="44"/>
    </w:rPr>
  </w:style>
  <w:style w:type="paragraph" w:styleId="NormalWeb">
    <w:name w:val="Normal (Web)"/>
    <w:basedOn w:val="Normal"/>
    <w:rsid w:val="00630FCD"/>
    <w:rPr>
      <w:szCs w:val="24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customStyle="1" w:styleId="Drugname">
    <w:name w:val="Drug name"/>
    <w:basedOn w:val="NormalWeb"/>
    <w:autoRedefine/>
    <w:rsid w:val="00630FC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630FC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30FC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630FC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630FCD"/>
    <w:rPr>
      <w:color w:val="999999"/>
      <w:u w:val="none"/>
    </w:rPr>
  </w:style>
  <w:style w:type="paragraph" w:customStyle="1" w:styleId="Nervous9">
    <w:name w:val="Nervous 9"/>
    <w:rsid w:val="00630FC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630FC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630FC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us.%20Muscular,%20Neuromuscular%20disorders\Mus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em.%20Demyelinating%20disorders\Dem11.%20Leukodystroph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Degenerative CNS Diseases</vt:lpstr>
    </vt:vector>
  </TitlesOfParts>
  <Company>www.NeurosurgeryResident.net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Degenerative CNS Diseases</dc:title>
  <dc:subject/>
  <dc:creator>Viktoras Palys, MD</dc:creator>
  <cp:keywords/>
  <cp:lastModifiedBy>Viktoras Palys</cp:lastModifiedBy>
  <cp:revision>6</cp:revision>
  <cp:lastPrinted>2019-04-19T07:30:00Z</cp:lastPrinted>
  <dcterms:created xsi:type="dcterms:W3CDTF">2016-03-14T03:48:00Z</dcterms:created>
  <dcterms:modified xsi:type="dcterms:W3CDTF">2019-04-19T07:30:00Z</dcterms:modified>
</cp:coreProperties>
</file>