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B7" w:rsidRPr="00181726" w:rsidRDefault="00904AB7" w:rsidP="00D22D02">
      <w:pPr>
        <w:pStyle w:val="Title"/>
      </w:pPr>
      <w:bookmarkStart w:id="0" w:name="_GoBack"/>
      <w:r w:rsidRPr="00181726">
        <w:t>Other Neuromuscular Transmission Disorders</w:t>
      </w:r>
    </w:p>
    <w:p w:rsidR="009A71D6" w:rsidRDefault="009A71D6" w:rsidP="009A71D6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114A67">
        <w:rPr>
          <w:noProof/>
        </w:rPr>
        <w:t>December 22, 2020</w:t>
      </w:r>
      <w:r>
        <w:fldChar w:fldCharType="end"/>
      </w:r>
    </w:p>
    <w:p w:rsidR="005A60D8" w:rsidRDefault="0015151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1,2,Antraštė,1,Nervous 5,3,Nervous 6,4" </w:instrText>
      </w:r>
      <w:r>
        <w:rPr>
          <w:b w:val="0"/>
          <w:smallCaps w:val="0"/>
        </w:rPr>
        <w:fldChar w:fldCharType="separate"/>
      </w:r>
      <w:hyperlink w:anchor="_Toc48509457" w:history="1">
        <w:r w:rsidR="005A60D8" w:rsidRPr="009A4E6B">
          <w:rPr>
            <w:rStyle w:val="Hyperlink"/>
            <w:noProof/>
          </w:rPr>
          <w:t>Congenital Myasthenias</w:t>
        </w:r>
        <w:r w:rsidR="005A60D8">
          <w:rPr>
            <w:noProof/>
            <w:webHidden/>
          </w:rPr>
          <w:tab/>
        </w:r>
        <w:r w:rsidR="005A60D8">
          <w:rPr>
            <w:noProof/>
            <w:webHidden/>
          </w:rPr>
          <w:fldChar w:fldCharType="begin"/>
        </w:r>
        <w:r w:rsidR="005A60D8">
          <w:rPr>
            <w:noProof/>
            <w:webHidden/>
          </w:rPr>
          <w:instrText xml:space="preserve"> PAGEREF _Toc48509457 \h </w:instrText>
        </w:r>
        <w:r w:rsidR="005A60D8">
          <w:rPr>
            <w:noProof/>
            <w:webHidden/>
          </w:rPr>
        </w:r>
        <w:r w:rsidR="005A60D8">
          <w:rPr>
            <w:noProof/>
            <w:webHidden/>
          </w:rPr>
          <w:fldChar w:fldCharType="separate"/>
        </w:r>
        <w:r w:rsidR="00114A67">
          <w:rPr>
            <w:noProof/>
            <w:webHidden/>
          </w:rPr>
          <w:t>1</w:t>
        </w:r>
        <w:r w:rsidR="005A60D8">
          <w:rPr>
            <w:noProof/>
            <w:webHidden/>
          </w:rPr>
          <w:fldChar w:fldCharType="end"/>
        </w:r>
      </w:hyperlink>
    </w:p>
    <w:p w:rsidR="005A60D8" w:rsidRDefault="00114A6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09458" w:history="1">
        <w:r w:rsidR="005A60D8" w:rsidRPr="009A4E6B">
          <w:rPr>
            <w:rStyle w:val="Hyperlink"/>
            <w:noProof/>
          </w:rPr>
          <w:t>Clinical Features</w:t>
        </w:r>
        <w:r w:rsidR="005A60D8">
          <w:rPr>
            <w:noProof/>
            <w:webHidden/>
          </w:rPr>
          <w:tab/>
        </w:r>
        <w:r w:rsidR="005A60D8">
          <w:rPr>
            <w:noProof/>
            <w:webHidden/>
          </w:rPr>
          <w:fldChar w:fldCharType="begin"/>
        </w:r>
        <w:r w:rsidR="005A60D8">
          <w:rPr>
            <w:noProof/>
            <w:webHidden/>
          </w:rPr>
          <w:instrText xml:space="preserve"> PAGEREF _Toc48509458 \h </w:instrText>
        </w:r>
        <w:r w:rsidR="005A60D8">
          <w:rPr>
            <w:noProof/>
            <w:webHidden/>
          </w:rPr>
        </w:r>
        <w:r w:rsidR="005A60D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A60D8">
          <w:rPr>
            <w:noProof/>
            <w:webHidden/>
          </w:rPr>
          <w:fldChar w:fldCharType="end"/>
        </w:r>
      </w:hyperlink>
    </w:p>
    <w:p w:rsidR="005A60D8" w:rsidRDefault="00114A6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09459" w:history="1">
        <w:r w:rsidR="005A60D8" w:rsidRPr="009A4E6B">
          <w:rPr>
            <w:rStyle w:val="Hyperlink"/>
            <w:noProof/>
          </w:rPr>
          <w:t>Diagnosis</w:t>
        </w:r>
        <w:r w:rsidR="005A60D8">
          <w:rPr>
            <w:noProof/>
            <w:webHidden/>
          </w:rPr>
          <w:tab/>
        </w:r>
        <w:r w:rsidR="005A60D8">
          <w:rPr>
            <w:noProof/>
            <w:webHidden/>
          </w:rPr>
          <w:fldChar w:fldCharType="begin"/>
        </w:r>
        <w:r w:rsidR="005A60D8">
          <w:rPr>
            <w:noProof/>
            <w:webHidden/>
          </w:rPr>
          <w:instrText xml:space="preserve"> PAGEREF _Toc48509459 \h </w:instrText>
        </w:r>
        <w:r w:rsidR="005A60D8">
          <w:rPr>
            <w:noProof/>
            <w:webHidden/>
          </w:rPr>
        </w:r>
        <w:r w:rsidR="005A60D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A60D8">
          <w:rPr>
            <w:noProof/>
            <w:webHidden/>
          </w:rPr>
          <w:fldChar w:fldCharType="end"/>
        </w:r>
      </w:hyperlink>
    </w:p>
    <w:p w:rsidR="005A60D8" w:rsidRDefault="00114A6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09460" w:history="1">
        <w:r w:rsidR="005A60D8" w:rsidRPr="009A4E6B">
          <w:rPr>
            <w:rStyle w:val="Hyperlink"/>
            <w:noProof/>
          </w:rPr>
          <w:t>Treatment</w:t>
        </w:r>
        <w:r w:rsidR="005A60D8">
          <w:rPr>
            <w:noProof/>
            <w:webHidden/>
          </w:rPr>
          <w:tab/>
        </w:r>
        <w:r w:rsidR="005A60D8">
          <w:rPr>
            <w:noProof/>
            <w:webHidden/>
          </w:rPr>
          <w:fldChar w:fldCharType="begin"/>
        </w:r>
        <w:r w:rsidR="005A60D8">
          <w:rPr>
            <w:noProof/>
            <w:webHidden/>
          </w:rPr>
          <w:instrText xml:space="preserve"> PAGEREF _Toc48509460 \h </w:instrText>
        </w:r>
        <w:r w:rsidR="005A60D8">
          <w:rPr>
            <w:noProof/>
            <w:webHidden/>
          </w:rPr>
        </w:r>
        <w:r w:rsidR="005A60D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A60D8">
          <w:rPr>
            <w:noProof/>
            <w:webHidden/>
          </w:rPr>
          <w:fldChar w:fldCharType="end"/>
        </w:r>
      </w:hyperlink>
    </w:p>
    <w:p w:rsidR="005A60D8" w:rsidRDefault="00114A6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8509461" w:history="1">
        <w:r w:rsidR="005A60D8" w:rsidRPr="009A4E6B">
          <w:rPr>
            <w:rStyle w:val="Hyperlink"/>
            <w:noProof/>
          </w:rPr>
          <w:t>Eaton-Lambert Syndrome</w:t>
        </w:r>
        <w:r w:rsidR="005A60D8">
          <w:rPr>
            <w:noProof/>
            <w:webHidden/>
          </w:rPr>
          <w:tab/>
        </w:r>
        <w:r w:rsidR="005A60D8">
          <w:rPr>
            <w:noProof/>
            <w:webHidden/>
          </w:rPr>
          <w:fldChar w:fldCharType="begin"/>
        </w:r>
        <w:r w:rsidR="005A60D8">
          <w:rPr>
            <w:noProof/>
            <w:webHidden/>
          </w:rPr>
          <w:instrText xml:space="preserve"> PAGEREF _Toc48509461 \h </w:instrText>
        </w:r>
        <w:r w:rsidR="005A60D8">
          <w:rPr>
            <w:noProof/>
            <w:webHidden/>
          </w:rPr>
        </w:r>
        <w:r w:rsidR="005A60D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A60D8">
          <w:rPr>
            <w:noProof/>
            <w:webHidden/>
          </w:rPr>
          <w:fldChar w:fldCharType="end"/>
        </w:r>
      </w:hyperlink>
    </w:p>
    <w:p w:rsidR="005A60D8" w:rsidRDefault="00114A6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09462" w:history="1">
        <w:r w:rsidR="005A60D8" w:rsidRPr="009A4E6B">
          <w:rPr>
            <w:rStyle w:val="Hyperlink"/>
            <w:noProof/>
          </w:rPr>
          <w:t>Clinical Features</w:t>
        </w:r>
        <w:r w:rsidR="005A60D8">
          <w:rPr>
            <w:noProof/>
            <w:webHidden/>
          </w:rPr>
          <w:tab/>
        </w:r>
        <w:r w:rsidR="005A60D8">
          <w:rPr>
            <w:noProof/>
            <w:webHidden/>
          </w:rPr>
          <w:fldChar w:fldCharType="begin"/>
        </w:r>
        <w:r w:rsidR="005A60D8">
          <w:rPr>
            <w:noProof/>
            <w:webHidden/>
          </w:rPr>
          <w:instrText xml:space="preserve"> PAGEREF _Toc48509462 \h </w:instrText>
        </w:r>
        <w:r w:rsidR="005A60D8">
          <w:rPr>
            <w:noProof/>
            <w:webHidden/>
          </w:rPr>
        </w:r>
        <w:r w:rsidR="005A60D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A60D8">
          <w:rPr>
            <w:noProof/>
            <w:webHidden/>
          </w:rPr>
          <w:fldChar w:fldCharType="end"/>
        </w:r>
      </w:hyperlink>
    </w:p>
    <w:p w:rsidR="005A60D8" w:rsidRDefault="00114A6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09463" w:history="1">
        <w:r w:rsidR="005A60D8" w:rsidRPr="009A4E6B">
          <w:rPr>
            <w:rStyle w:val="Hyperlink"/>
            <w:noProof/>
          </w:rPr>
          <w:t>Diagnosis</w:t>
        </w:r>
        <w:r w:rsidR="005A60D8">
          <w:rPr>
            <w:noProof/>
            <w:webHidden/>
          </w:rPr>
          <w:tab/>
        </w:r>
        <w:r w:rsidR="005A60D8">
          <w:rPr>
            <w:noProof/>
            <w:webHidden/>
          </w:rPr>
          <w:fldChar w:fldCharType="begin"/>
        </w:r>
        <w:r w:rsidR="005A60D8">
          <w:rPr>
            <w:noProof/>
            <w:webHidden/>
          </w:rPr>
          <w:instrText xml:space="preserve"> PAGEREF _Toc48509463 \h </w:instrText>
        </w:r>
        <w:r w:rsidR="005A60D8">
          <w:rPr>
            <w:noProof/>
            <w:webHidden/>
          </w:rPr>
        </w:r>
        <w:r w:rsidR="005A60D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A60D8">
          <w:rPr>
            <w:noProof/>
            <w:webHidden/>
          </w:rPr>
          <w:fldChar w:fldCharType="end"/>
        </w:r>
      </w:hyperlink>
    </w:p>
    <w:p w:rsidR="005A60D8" w:rsidRDefault="00114A6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09464" w:history="1">
        <w:r w:rsidR="005A60D8" w:rsidRPr="009A4E6B">
          <w:rPr>
            <w:rStyle w:val="Hyperlink"/>
            <w:noProof/>
          </w:rPr>
          <w:t>Treatment</w:t>
        </w:r>
        <w:r w:rsidR="005A60D8">
          <w:rPr>
            <w:noProof/>
            <w:webHidden/>
          </w:rPr>
          <w:tab/>
        </w:r>
        <w:r w:rsidR="005A60D8">
          <w:rPr>
            <w:noProof/>
            <w:webHidden/>
          </w:rPr>
          <w:fldChar w:fldCharType="begin"/>
        </w:r>
        <w:r w:rsidR="005A60D8">
          <w:rPr>
            <w:noProof/>
            <w:webHidden/>
          </w:rPr>
          <w:instrText xml:space="preserve"> PAGEREF _Toc48509464 \h </w:instrText>
        </w:r>
        <w:r w:rsidR="005A60D8">
          <w:rPr>
            <w:noProof/>
            <w:webHidden/>
          </w:rPr>
        </w:r>
        <w:r w:rsidR="005A60D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A60D8">
          <w:rPr>
            <w:noProof/>
            <w:webHidden/>
          </w:rPr>
          <w:fldChar w:fldCharType="end"/>
        </w:r>
      </w:hyperlink>
    </w:p>
    <w:p w:rsidR="00904AB7" w:rsidRDefault="00151514">
      <w:r>
        <w:rPr>
          <w:b/>
          <w:smallCaps/>
        </w:rPr>
        <w:fldChar w:fldCharType="end"/>
      </w:r>
    </w:p>
    <w:p w:rsidR="005F2284" w:rsidRPr="00181726" w:rsidRDefault="005F2284"/>
    <w:p w:rsidR="00904AB7" w:rsidRPr="00181726" w:rsidRDefault="00904AB7">
      <w:pPr>
        <w:pStyle w:val="Antrat"/>
      </w:pPr>
      <w:bookmarkStart w:id="1" w:name="_Toc115618107"/>
      <w:bookmarkStart w:id="2" w:name="_Toc48509457"/>
      <w:r w:rsidRPr="00181726">
        <w:t>Congenital Myasthenias</w:t>
      </w:r>
      <w:bookmarkEnd w:id="1"/>
      <w:bookmarkEnd w:id="2"/>
    </w:p>
    <w:p w:rsidR="00904AB7" w:rsidRPr="00181726" w:rsidRDefault="00904AB7">
      <w:pPr>
        <w:pStyle w:val="NormalWeb"/>
        <w:numPr>
          <w:ilvl w:val="0"/>
          <w:numId w:val="1"/>
        </w:numPr>
      </w:pPr>
      <w:r w:rsidRPr="00181726">
        <w:rPr>
          <w:smallCaps/>
        </w:rPr>
        <w:t>incidence</w:t>
      </w:r>
      <w:r w:rsidRPr="00181726">
        <w:t xml:space="preserve"> &lt;&lt; incidence of MG.</w:t>
      </w:r>
    </w:p>
    <w:p w:rsidR="00904AB7" w:rsidRPr="00181726" w:rsidRDefault="00904AB7">
      <w:pPr>
        <w:pStyle w:val="NormalWeb"/>
        <w:numPr>
          <w:ilvl w:val="0"/>
          <w:numId w:val="1"/>
        </w:numPr>
      </w:pPr>
      <w:r w:rsidRPr="00181726">
        <w:rPr>
          <w:i/>
          <w:iCs/>
          <w:color w:val="0000FF"/>
        </w:rPr>
        <w:t>not autoimmune</w:t>
      </w:r>
      <w:r w:rsidRPr="00181726">
        <w:t>!</w:t>
      </w:r>
    </w:p>
    <w:p w:rsidR="00904AB7" w:rsidRPr="00181726" w:rsidRDefault="00904AB7">
      <w:pPr>
        <w:pStyle w:val="NormalWeb"/>
        <w:ind w:left="720"/>
      </w:pPr>
      <w:r w:rsidRPr="00181726">
        <w:rPr>
          <w:b/>
          <w:bCs/>
          <w:smallCaps/>
        </w:rPr>
        <w:t>Pathogenetic Classification</w:t>
      </w:r>
      <w:r w:rsidRPr="00181726">
        <w:t xml:space="preserve"> – </w:t>
      </w:r>
      <w:r w:rsidR="00CF491F">
        <w:t xml:space="preserve">see </w:t>
      </w:r>
      <w:hyperlink r:id="rId7" w:history="1">
        <w:r w:rsidR="00CF491F" w:rsidRPr="0020215B">
          <w:rPr>
            <w:rStyle w:val="Hyperlink"/>
          </w:rPr>
          <w:t xml:space="preserve">p. </w:t>
        </w:r>
        <w:r w:rsidRPr="0020215B">
          <w:rPr>
            <w:rStyle w:val="Hyperlink"/>
          </w:rPr>
          <w:t>Mus1</w:t>
        </w:r>
        <w:r w:rsidR="00CF491F" w:rsidRPr="0020215B">
          <w:rPr>
            <w:rStyle w:val="Hyperlink"/>
          </w:rPr>
          <w:t xml:space="preserve"> &gt;&gt;</w:t>
        </w:r>
      </w:hyperlink>
    </w:p>
    <w:p w:rsidR="00904AB7" w:rsidRPr="00181726" w:rsidRDefault="00904AB7">
      <w:pPr>
        <w:pStyle w:val="NormalWeb"/>
      </w:pPr>
    </w:p>
    <w:p w:rsidR="00904AB7" w:rsidRPr="00181726" w:rsidRDefault="00904AB7">
      <w:pPr>
        <w:pStyle w:val="Nervous6"/>
        <w:ind w:right="7795"/>
      </w:pPr>
      <w:bookmarkStart w:id="3" w:name="_Toc48509458"/>
      <w:r w:rsidRPr="00181726">
        <w:t>Clinical Features</w:t>
      </w:r>
      <w:bookmarkEnd w:id="3"/>
    </w:p>
    <w:p w:rsidR="00904AB7" w:rsidRPr="00181726" w:rsidRDefault="00904AB7">
      <w:pPr>
        <w:pStyle w:val="NormalWeb"/>
      </w:pPr>
      <w:r w:rsidRPr="00181726">
        <w:rPr>
          <w:b/>
          <w:bCs/>
          <w:smallCaps/>
          <w:u w:val="thick" w:color="00FF00"/>
        </w:rPr>
        <w:t xml:space="preserve">myasthenic symptoms </w:t>
      </w:r>
      <w:r w:rsidRPr="00181726">
        <w:rPr>
          <w:b/>
          <w:bCs/>
          <w:u w:val="thick" w:color="00FF00"/>
        </w:rPr>
        <w:t>after neonatal period</w:t>
      </w:r>
      <w:r w:rsidRPr="00181726">
        <w:t xml:space="preserve"> (“floppy baby”) + </w:t>
      </w:r>
      <w:r w:rsidRPr="00181726">
        <w:rPr>
          <w:b/>
          <w:bCs/>
          <w:smallCaps/>
          <w:u w:val="thick" w:color="00FF00"/>
        </w:rPr>
        <w:t>family history</w:t>
      </w:r>
      <w:r w:rsidRPr="00181726">
        <w:t xml:space="preserve"> (autosomal recessive inheritance is most common)</w:t>
      </w:r>
    </w:p>
    <w:p w:rsidR="00904AB7" w:rsidRPr="00181726" w:rsidRDefault="00904AB7">
      <w:pPr>
        <w:pStyle w:val="NormalWeb"/>
        <w:ind w:left="720"/>
      </w:pPr>
      <w:r w:rsidRPr="00181726">
        <w:t>N.B. may present later in life and, in some cases, without family histo</w:t>
      </w:r>
      <w:r w:rsidR="001E351C" w:rsidRPr="00181726">
        <w:t>ry – diagnosed as serologically-</w:t>
      </w:r>
      <w:r w:rsidRPr="00181726">
        <w:t>negative autoimmune myasthenia.</w:t>
      </w:r>
    </w:p>
    <w:p w:rsidR="00904AB7" w:rsidRPr="00181726" w:rsidRDefault="00904AB7">
      <w:pPr>
        <w:pStyle w:val="NormalWeb"/>
      </w:pPr>
    </w:p>
    <w:p w:rsidR="00904AB7" w:rsidRPr="00181726" w:rsidRDefault="00904AB7">
      <w:pPr>
        <w:pStyle w:val="NormalWeb"/>
        <w:numPr>
          <w:ilvl w:val="0"/>
          <w:numId w:val="2"/>
        </w:numPr>
      </w:pPr>
      <w:r w:rsidRPr="00181726">
        <w:t>difficulty with feeding, delayed motor milestones, persistent or sometimes progressive limb weakness.</w:t>
      </w:r>
    </w:p>
    <w:p w:rsidR="00904AB7" w:rsidRPr="00181726" w:rsidRDefault="00904AB7">
      <w:pPr>
        <w:pStyle w:val="NormalWeb"/>
        <w:numPr>
          <w:ilvl w:val="0"/>
          <w:numId w:val="2"/>
        </w:numPr>
      </w:pPr>
      <w:r w:rsidRPr="00181726">
        <w:t>skeletal abnormalities can result from weakness.</w:t>
      </w:r>
    </w:p>
    <w:p w:rsidR="00904AB7" w:rsidRPr="00181726" w:rsidRDefault="00904AB7">
      <w:pPr>
        <w:pStyle w:val="NormalWeb"/>
        <w:numPr>
          <w:ilvl w:val="0"/>
          <w:numId w:val="2"/>
        </w:numPr>
      </w:pPr>
      <w:r w:rsidRPr="00181726">
        <w:t>some syndromes lack ocular involvement!</w:t>
      </w:r>
    </w:p>
    <w:p w:rsidR="00904AB7" w:rsidRPr="00181726" w:rsidRDefault="00904AB7">
      <w:pPr>
        <w:pStyle w:val="NormalWeb"/>
      </w:pPr>
    </w:p>
    <w:p w:rsidR="00904AB7" w:rsidRPr="00181726" w:rsidRDefault="00904AB7" w:rsidP="005F2284">
      <w:pPr>
        <w:pStyle w:val="Nervous6"/>
        <w:ind w:right="8646"/>
      </w:pPr>
      <w:bookmarkStart w:id="4" w:name="_Toc48509459"/>
      <w:r w:rsidRPr="00181726">
        <w:t>Diagnosis</w:t>
      </w:r>
      <w:bookmarkEnd w:id="4"/>
    </w:p>
    <w:p w:rsidR="00904AB7" w:rsidRPr="00181726" w:rsidRDefault="00904AB7">
      <w:pPr>
        <w:pStyle w:val="NormalWeb"/>
        <w:numPr>
          <w:ilvl w:val="0"/>
          <w:numId w:val="3"/>
        </w:numPr>
      </w:pPr>
      <w:r w:rsidRPr="00181726">
        <w:t xml:space="preserve">positive </w:t>
      </w:r>
      <w:r w:rsidRPr="00181726">
        <w:rPr>
          <w:b/>
          <w:bCs/>
          <w:color w:val="990033"/>
        </w:rPr>
        <w:t>AChR antibody test</w:t>
      </w:r>
      <w:r w:rsidRPr="00181726">
        <w:t xml:space="preserve"> excludes congenital myasthenia</w:t>
      </w:r>
      <w:r w:rsidR="006B5614" w:rsidRPr="00181726">
        <w:t xml:space="preserve"> </w:t>
      </w:r>
      <w:r w:rsidRPr="00181726">
        <w:t>(negative test is less helpful).</w:t>
      </w:r>
    </w:p>
    <w:p w:rsidR="00904AB7" w:rsidRPr="00181726" w:rsidRDefault="00904AB7">
      <w:pPr>
        <w:pStyle w:val="NormalWeb"/>
        <w:numPr>
          <w:ilvl w:val="0"/>
          <w:numId w:val="3"/>
        </w:numPr>
      </w:pPr>
      <w:r w:rsidRPr="00181726">
        <w:t xml:space="preserve">positive* </w:t>
      </w:r>
      <w:r w:rsidRPr="00181726">
        <w:rPr>
          <w:b/>
          <w:bCs/>
          <w:color w:val="008000"/>
        </w:rPr>
        <w:t>edrophonium (Tensilon) test</w:t>
      </w:r>
      <w:r w:rsidRPr="00181726">
        <w:t xml:space="preserve"> </w:t>
      </w:r>
      <w:r w:rsidRPr="00181726">
        <w:rPr>
          <w:u w:val="single"/>
        </w:rPr>
        <w:t>confirms myasthenic syndrome</w:t>
      </w:r>
      <w:r w:rsidRPr="00181726">
        <w:t xml:space="preserve"> but does not differentiate congenital myasthenia from MG.</w:t>
      </w:r>
    </w:p>
    <w:p w:rsidR="00904AB7" w:rsidRPr="00181726" w:rsidRDefault="00904AB7">
      <w:pPr>
        <w:pStyle w:val="NormalWeb"/>
        <w:ind w:left="2160"/>
      </w:pPr>
      <w:r w:rsidRPr="00181726">
        <w:t>*may be negative in deficiency of acetylcholinesterase.</w:t>
      </w:r>
    </w:p>
    <w:p w:rsidR="00904AB7" w:rsidRPr="00181726" w:rsidRDefault="00904AB7">
      <w:pPr>
        <w:pStyle w:val="NormalWeb"/>
        <w:numPr>
          <w:ilvl w:val="0"/>
          <w:numId w:val="3"/>
        </w:numPr>
      </w:pPr>
      <w:r w:rsidRPr="00181726">
        <w:rPr>
          <w:b/>
          <w:bCs/>
          <w:color w:val="008000"/>
        </w:rPr>
        <w:t>repetitive nerve stimulation</w:t>
      </w:r>
      <w:r w:rsidRPr="00181726">
        <w:t>** → decrement in CMAP.</w:t>
      </w:r>
    </w:p>
    <w:p w:rsidR="00904AB7" w:rsidRPr="00181726" w:rsidRDefault="00904AB7">
      <w:pPr>
        <w:pStyle w:val="NormalWeb"/>
        <w:ind w:left="2160"/>
      </w:pPr>
      <w:r w:rsidRPr="00181726">
        <w:t>**at 10 Hz (vs. MG – at 3 Hz).</w:t>
      </w:r>
    </w:p>
    <w:p w:rsidR="00904AB7" w:rsidRPr="00181726" w:rsidRDefault="00904AB7">
      <w:pPr>
        <w:pStyle w:val="NormalWeb"/>
        <w:numPr>
          <w:ilvl w:val="0"/>
          <w:numId w:val="3"/>
        </w:numPr>
      </w:pPr>
      <w:r w:rsidRPr="00181726">
        <w:rPr>
          <w:b/>
          <w:bCs/>
          <w:color w:val="008000"/>
        </w:rPr>
        <w:t>single-fiber EMG</w:t>
      </w:r>
      <w:r w:rsidRPr="00181726">
        <w:t xml:space="preserve"> – as in MG.</w:t>
      </w:r>
    </w:p>
    <w:p w:rsidR="00904AB7" w:rsidRPr="00181726" w:rsidRDefault="00904AB7">
      <w:pPr>
        <w:pStyle w:val="NormalWeb"/>
      </w:pPr>
    </w:p>
    <w:p w:rsidR="00904AB7" w:rsidRPr="00181726" w:rsidRDefault="00904AB7">
      <w:pPr>
        <w:pStyle w:val="NormalWeb"/>
        <w:rPr>
          <w:u w:val="single"/>
        </w:rPr>
      </w:pPr>
      <w:r w:rsidRPr="00181726">
        <w:rPr>
          <w:b/>
          <w:bCs/>
          <w:u w:val="single"/>
        </w:rPr>
        <w:t>Differential Diagnosis</w:t>
      </w:r>
    </w:p>
    <w:p w:rsidR="00904AB7" w:rsidRPr="00181726" w:rsidRDefault="00904AB7">
      <w:pPr>
        <w:pStyle w:val="NormalWeb"/>
        <w:numPr>
          <w:ilvl w:val="1"/>
          <w:numId w:val="3"/>
        </w:numPr>
      </w:pPr>
      <w:r w:rsidRPr="00181726">
        <w:t>mitochondrial myopathy</w:t>
      </w:r>
    </w:p>
    <w:p w:rsidR="00904AB7" w:rsidRPr="00181726" w:rsidRDefault="00904AB7">
      <w:pPr>
        <w:pStyle w:val="NormalWeb"/>
        <w:numPr>
          <w:ilvl w:val="1"/>
          <w:numId w:val="3"/>
        </w:numPr>
      </w:pPr>
      <w:r w:rsidRPr="00181726">
        <w:t>myasthenia gravis / neonatal myasthenia (passive placental transfer of AChR antibodies).</w:t>
      </w:r>
    </w:p>
    <w:p w:rsidR="00904AB7" w:rsidRPr="00181726" w:rsidRDefault="00904AB7">
      <w:pPr>
        <w:pStyle w:val="NormalWeb"/>
      </w:pPr>
    </w:p>
    <w:p w:rsidR="00904AB7" w:rsidRPr="00181726" w:rsidRDefault="00904AB7" w:rsidP="005F2284">
      <w:pPr>
        <w:pStyle w:val="Nervous6"/>
        <w:ind w:right="8504"/>
      </w:pPr>
      <w:bookmarkStart w:id="5" w:name="_Toc48509460"/>
      <w:r w:rsidRPr="00181726">
        <w:t>Treatment</w:t>
      </w:r>
      <w:bookmarkEnd w:id="5"/>
      <w:r w:rsidRPr="00181726">
        <w:t xml:space="preserve"> </w:t>
      </w:r>
    </w:p>
    <w:p w:rsidR="00904AB7" w:rsidRPr="00181726" w:rsidRDefault="00904AB7">
      <w:pPr>
        <w:pStyle w:val="NormalWeb"/>
        <w:numPr>
          <w:ilvl w:val="0"/>
          <w:numId w:val="3"/>
        </w:numPr>
      </w:pPr>
      <w:r w:rsidRPr="00181726">
        <w:rPr>
          <w:b/>
          <w:bCs/>
        </w:rPr>
        <w:t>respiratory &amp; bulbar</w:t>
      </w:r>
      <w:r w:rsidRPr="00181726">
        <w:t xml:space="preserve"> supportive measures.</w:t>
      </w:r>
    </w:p>
    <w:p w:rsidR="00904AB7" w:rsidRPr="00181726" w:rsidRDefault="00904AB7">
      <w:pPr>
        <w:pStyle w:val="NormalWeb"/>
        <w:numPr>
          <w:ilvl w:val="0"/>
          <w:numId w:val="3"/>
        </w:numPr>
      </w:pPr>
      <w:r w:rsidRPr="00181726">
        <w:t xml:space="preserve">some patients respond to </w:t>
      </w:r>
      <w:r w:rsidRPr="00181726">
        <w:rPr>
          <w:b/>
          <w:bCs/>
        </w:rPr>
        <w:t>anticholinesterases</w:t>
      </w:r>
      <w:r w:rsidRPr="00181726">
        <w:t xml:space="preserve">; if not – try </w:t>
      </w:r>
      <w:r w:rsidRPr="00181726">
        <w:rPr>
          <w:rStyle w:val="Drugname2Char"/>
          <w:lang w:val="en-US"/>
        </w:rPr>
        <w:t>3,4,-diaminopyridine</w:t>
      </w:r>
      <w:r w:rsidRPr="00181726">
        <w:t>.</w:t>
      </w:r>
    </w:p>
    <w:p w:rsidR="00904AB7" w:rsidRPr="00181726" w:rsidRDefault="00904AB7"/>
    <w:p w:rsidR="00C64D3E" w:rsidRDefault="00C64D3E"/>
    <w:p w:rsidR="005F2284" w:rsidRDefault="005F2284"/>
    <w:p w:rsidR="005F2284" w:rsidRPr="00181726" w:rsidRDefault="005F2284"/>
    <w:p w:rsidR="00904AB7" w:rsidRPr="00181726" w:rsidRDefault="00904AB7">
      <w:pPr>
        <w:pStyle w:val="Antrat"/>
      </w:pPr>
      <w:bookmarkStart w:id="6" w:name="_Toc115618108"/>
      <w:bookmarkStart w:id="7" w:name="_Toc48509461"/>
      <w:r w:rsidRPr="00181726">
        <w:t>Eaton-Lambert Syndrome</w:t>
      </w:r>
      <w:bookmarkEnd w:id="6"/>
      <w:bookmarkEnd w:id="7"/>
    </w:p>
    <w:p w:rsidR="00904AB7" w:rsidRPr="00181726" w:rsidRDefault="00904AB7">
      <w:pPr>
        <w:pStyle w:val="NormalWeb"/>
      </w:pPr>
      <w:r w:rsidRPr="00181726">
        <w:rPr>
          <w:u w:color="FF0000"/>
        </w:rPr>
        <w:t xml:space="preserve">- </w:t>
      </w:r>
      <w:r w:rsidRPr="00181726">
        <w:rPr>
          <w:highlight w:val="yellow"/>
          <w:u w:color="FF0000"/>
        </w:rPr>
        <w:t xml:space="preserve">autoantibodies against </w:t>
      </w:r>
      <w:r w:rsidRPr="00181726">
        <w:rPr>
          <w:b/>
          <w:bCs/>
          <w:highlight w:val="yellow"/>
          <w:u w:color="FF0000"/>
        </w:rPr>
        <w:t>voltage-gated Ca</w:t>
      </w:r>
      <w:r w:rsidRPr="00181726">
        <w:rPr>
          <w:b/>
          <w:bCs/>
          <w:highlight w:val="yellow"/>
          <w:u w:color="FF0000"/>
          <w:vertAlign w:val="superscript"/>
        </w:rPr>
        <w:t>2+</w:t>
      </w:r>
      <w:r w:rsidRPr="00181726">
        <w:rPr>
          <w:b/>
          <w:bCs/>
          <w:highlight w:val="yellow"/>
          <w:u w:color="FF0000"/>
        </w:rPr>
        <w:t xml:space="preserve">-channels </w:t>
      </w:r>
      <w:r w:rsidRPr="00181726">
        <w:rPr>
          <w:highlight w:val="yellow"/>
          <w:u w:color="FF0000"/>
        </w:rPr>
        <w:t>in peripheral nerves</w:t>
      </w:r>
      <w:r w:rsidRPr="00181726">
        <w:t xml:space="preserve"> → </w:t>
      </w:r>
      <w:r w:rsidRPr="00181726">
        <w:rPr>
          <w:u w:val="double" w:color="FF0000"/>
        </w:rPr>
        <w:t>reduced acetylcholine release*</w:t>
      </w:r>
      <w:r w:rsidRPr="00181726">
        <w:t xml:space="preserve"> (at </w:t>
      </w:r>
      <w:r w:rsidRPr="00181726">
        <w:rPr>
          <w:i/>
          <w:iCs/>
        </w:rPr>
        <w:t>neuromuscular</w:t>
      </w:r>
      <w:r w:rsidRPr="00181726">
        <w:t xml:space="preserve"> and </w:t>
      </w:r>
      <w:r w:rsidRPr="00181726">
        <w:rPr>
          <w:i/>
          <w:iCs/>
        </w:rPr>
        <w:t>autonomic</w:t>
      </w:r>
      <w:r w:rsidRPr="00181726">
        <w:t xml:space="preserve"> synapses).</w:t>
      </w:r>
    </w:p>
    <w:p w:rsidR="00904AB7" w:rsidRPr="00181726" w:rsidRDefault="00904AB7">
      <w:pPr>
        <w:pStyle w:val="NormalWeb"/>
        <w:jc w:val="right"/>
      </w:pPr>
      <w:r w:rsidRPr="00181726">
        <w:t>*number↓ of released ACh quanta.</w:t>
      </w:r>
    </w:p>
    <w:p w:rsidR="00904AB7" w:rsidRPr="00181726" w:rsidRDefault="00904AB7" w:rsidP="005F22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4393"/>
        <w:jc w:val="center"/>
      </w:pPr>
      <w:r w:rsidRPr="00181726">
        <w:t xml:space="preserve">Disorder of </w:t>
      </w:r>
      <w:r w:rsidRPr="00181726">
        <w:rPr>
          <w:b/>
          <w:bCs/>
        </w:rPr>
        <w:t>presynaptic cholinergic cell</w:t>
      </w:r>
    </w:p>
    <w:p w:rsidR="00904AB7" w:rsidRPr="00181726" w:rsidRDefault="00904AB7">
      <w:pPr>
        <w:pStyle w:val="NormalWeb"/>
        <w:numPr>
          <w:ilvl w:val="0"/>
          <w:numId w:val="5"/>
        </w:numPr>
      </w:pPr>
      <w:r w:rsidRPr="00181726">
        <w:t>66%</w:t>
      </w:r>
      <w:r w:rsidRPr="00181726">
        <w:rPr>
          <w:b/>
          <w:bCs/>
          <w:color w:val="0000FF"/>
        </w:rPr>
        <w:t xml:space="preserve"> paraneoplastic disorder</w:t>
      </w:r>
      <w:r w:rsidRPr="00181726">
        <w:t xml:space="preserve"> (60% patients, esp. men, have </w:t>
      </w:r>
      <w:r w:rsidRPr="00181726">
        <w:rPr>
          <w:color w:val="FF0000"/>
        </w:rPr>
        <w:t>small cell lung cancer</w:t>
      </w:r>
      <w:r w:rsidRPr="00181726">
        <w:t>) - antibodies arise in reaction to tumor.</w:t>
      </w:r>
    </w:p>
    <w:p w:rsidR="00904AB7" w:rsidRPr="00181726" w:rsidRDefault="00904AB7">
      <w:pPr>
        <w:pStyle w:val="NormalWeb"/>
        <w:ind w:left="1440"/>
      </w:pPr>
      <w:r w:rsidRPr="00181726">
        <w:rPr>
          <w:szCs w:val="20"/>
        </w:rPr>
        <w:t>Syndrome may predate tumor detection by up to 3 years!</w:t>
      </w:r>
    </w:p>
    <w:p w:rsidR="00904AB7" w:rsidRPr="00181726" w:rsidRDefault="00904AB7">
      <w:pPr>
        <w:pStyle w:val="NormalWeb"/>
        <w:numPr>
          <w:ilvl w:val="0"/>
          <w:numId w:val="5"/>
        </w:numPr>
      </w:pPr>
      <w:r w:rsidRPr="00181726">
        <w:t xml:space="preserve">33% associated with </w:t>
      </w:r>
      <w:r w:rsidRPr="00181726">
        <w:rPr>
          <w:b/>
          <w:bCs/>
          <w:color w:val="0000FF"/>
        </w:rPr>
        <w:t>other autoimmune disorders</w:t>
      </w:r>
      <w:r w:rsidRPr="00181726">
        <w:t xml:space="preserve"> (thyroid disease, pernicious anemia, vitiligo, type I diabetes mellitus).</w:t>
      </w:r>
    </w:p>
    <w:p w:rsidR="00904AB7" w:rsidRDefault="00904AB7">
      <w:pPr>
        <w:pStyle w:val="NormalWeb"/>
      </w:pPr>
    </w:p>
    <w:p w:rsidR="00F32A38" w:rsidRPr="00181726" w:rsidRDefault="00F32A38">
      <w:pPr>
        <w:pStyle w:val="NormalWeb"/>
      </w:pPr>
      <w:r>
        <w:t>N.B. botulism also affects Acch release!</w:t>
      </w:r>
    </w:p>
    <w:p w:rsidR="00904AB7" w:rsidRPr="00181726" w:rsidRDefault="00904AB7">
      <w:pPr>
        <w:pStyle w:val="NormalWeb"/>
      </w:pPr>
    </w:p>
    <w:p w:rsidR="00904AB7" w:rsidRPr="00181726" w:rsidRDefault="00904AB7">
      <w:pPr>
        <w:pStyle w:val="Nervous6"/>
        <w:ind w:right="7795"/>
      </w:pPr>
      <w:bookmarkStart w:id="8" w:name="_Toc48509462"/>
      <w:r w:rsidRPr="00181726">
        <w:t>Clinical Features</w:t>
      </w:r>
      <w:bookmarkEnd w:id="8"/>
    </w:p>
    <w:p w:rsidR="00904AB7" w:rsidRPr="00181726" w:rsidRDefault="00904AB7" w:rsidP="00C64D3E">
      <w:pPr>
        <w:pStyle w:val="NormalWeb"/>
      </w:pPr>
      <w:r w:rsidRPr="00181726">
        <w:rPr>
          <w:u w:val="single"/>
        </w:rPr>
        <w:t>Skeletal muscles</w:t>
      </w:r>
      <w:r w:rsidRPr="00181726">
        <w:t xml:space="preserve">: </w:t>
      </w:r>
      <w:r w:rsidRPr="00181726">
        <w:rPr>
          <w:b/>
          <w:bCs/>
        </w:rPr>
        <w:t>proximal &amp; limb girdle muscle weakness + hyporeflexia</w:t>
      </w:r>
      <w:r w:rsidRPr="00181726">
        <w:t xml:space="preserve"> (esp. knee and ankle) are hallmarks.</w:t>
      </w:r>
    </w:p>
    <w:p w:rsidR="00904AB7" w:rsidRPr="00181726" w:rsidRDefault="00904AB7" w:rsidP="005F22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077" w:right="4677"/>
        <w:jc w:val="center"/>
      </w:pPr>
      <w:r w:rsidRPr="00181726">
        <w:t>respiratory, bulbar*, ocular muscles spared</w:t>
      </w:r>
    </w:p>
    <w:p w:rsidR="00904AB7" w:rsidRPr="00181726" w:rsidRDefault="00904AB7">
      <w:pPr>
        <w:pStyle w:val="NormalWeb"/>
        <w:ind w:left="1440"/>
      </w:pPr>
      <w:r w:rsidRPr="00181726">
        <w:t>*pharyngeal weakness (dysphagia) is only cranial weakness regularly encountered.</w:t>
      </w:r>
    </w:p>
    <w:p w:rsidR="00904AB7" w:rsidRPr="00181726" w:rsidRDefault="00904AB7" w:rsidP="00904AB7">
      <w:pPr>
        <w:pStyle w:val="NormalWeb"/>
        <w:numPr>
          <w:ilvl w:val="1"/>
          <w:numId w:val="4"/>
        </w:numPr>
        <w:tabs>
          <w:tab w:val="clear" w:pos="1440"/>
          <w:tab w:val="num" w:pos="1080"/>
        </w:tabs>
        <w:ind w:left="1060"/>
      </w:pPr>
      <w:r w:rsidRPr="00181726">
        <w:t>lower limbs &gt; upper limbs.</w:t>
      </w:r>
    </w:p>
    <w:p w:rsidR="00904AB7" w:rsidRPr="00181726" w:rsidRDefault="00904AB7">
      <w:pPr>
        <w:pStyle w:val="NormalWeb"/>
        <w:ind w:left="1440"/>
        <w:rPr>
          <w:b/>
          <w:bCs/>
          <w:smallCaps/>
          <w:color w:val="FF0066"/>
        </w:rPr>
      </w:pPr>
      <w:r w:rsidRPr="00181726">
        <w:rPr>
          <w:b/>
          <w:bCs/>
          <w:smallCaps/>
          <w:color w:val="FF0066"/>
          <w:szCs w:val="20"/>
        </w:rPr>
        <w:t>proximal muscles of lower limbs!</w:t>
      </w:r>
    </w:p>
    <w:p w:rsidR="00904AB7" w:rsidRPr="00181726" w:rsidRDefault="00904AB7" w:rsidP="00904AB7">
      <w:pPr>
        <w:pStyle w:val="NormalWeb"/>
        <w:numPr>
          <w:ilvl w:val="1"/>
          <w:numId w:val="4"/>
        </w:numPr>
        <w:tabs>
          <w:tab w:val="clear" w:pos="1440"/>
          <w:tab w:val="num" w:pos="1080"/>
        </w:tabs>
        <w:ind w:left="1060"/>
      </w:pPr>
      <w:r w:rsidRPr="00181726">
        <w:t>myalgia may occur.</w:t>
      </w:r>
    </w:p>
    <w:p w:rsidR="00904AB7" w:rsidRPr="00181726" w:rsidRDefault="00904AB7" w:rsidP="00904AB7">
      <w:pPr>
        <w:pStyle w:val="NormalWeb"/>
        <w:numPr>
          <w:ilvl w:val="1"/>
          <w:numId w:val="4"/>
        </w:numPr>
        <w:tabs>
          <w:tab w:val="clear" w:pos="1440"/>
          <w:tab w:val="num" w:pos="1080"/>
        </w:tabs>
        <w:ind w:left="1060"/>
      </w:pPr>
      <w:r w:rsidRPr="00181726">
        <w:t>general fatigue (precedes weakness).</w:t>
      </w:r>
    </w:p>
    <w:p w:rsidR="00904AB7" w:rsidRPr="00181726" w:rsidRDefault="00904AB7" w:rsidP="00904AB7">
      <w:pPr>
        <w:pStyle w:val="NormalWeb"/>
        <w:numPr>
          <w:ilvl w:val="1"/>
          <w:numId w:val="4"/>
        </w:numPr>
        <w:tabs>
          <w:tab w:val="clear" w:pos="1440"/>
          <w:tab w:val="num" w:pos="1080"/>
        </w:tabs>
        <w:ind w:left="1060"/>
      </w:pPr>
      <w:r w:rsidRPr="00181726">
        <w:t>gait dysfunction (follows weakness on standing).</w:t>
      </w:r>
    </w:p>
    <w:p w:rsidR="00904AB7" w:rsidRPr="00181726" w:rsidRDefault="00904AB7">
      <w:pPr>
        <w:pStyle w:val="NormalWeb"/>
        <w:ind w:left="360"/>
      </w:pPr>
      <w:r w:rsidRPr="00181726">
        <w:t xml:space="preserve">N.B. </w:t>
      </w:r>
      <w:r w:rsidRPr="00181726">
        <w:rPr>
          <w:b/>
          <w:bCs/>
          <w:i/>
          <w:iCs/>
          <w:color w:val="0000FF"/>
        </w:rPr>
        <w:t>repetitive / sustained</w:t>
      </w:r>
      <w:r w:rsidRPr="00181726">
        <w:rPr>
          <w:i/>
          <w:iCs/>
          <w:color w:val="0000FF"/>
        </w:rPr>
        <w:t xml:space="preserve"> contraction can improve muscle strength for few seconds</w:t>
      </w:r>
      <w:r w:rsidRPr="00181726">
        <w:t>!!! (warming-up phenomenon) – opposite of fatigability!; with continued use muscle fatigability returns.</w:t>
      </w:r>
    </w:p>
    <w:p w:rsidR="00904AB7" w:rsidRPr="00181726" w:rsidRDefault="00904AB7">
      <w:pPr>
        <w:pStyle w:val="NormalWeb"/>
        <w:ind w:left="360"/>
      </w:pPr>
    </w:p>
    <w:p w:rsidR="00904AB7" w:rsidRPr="00181726" w:rsidRDefault="00904AB7">
      <w:pPr>
        <w:pStyle w:val="NormalWeb"/>
      </w:pPr>
      <w:r w:rsidRPr="00181726">
        <w:rPr>
          <w:u w:val="single"/>
        </w:rPr>
        <w:t>Autonomic cholinergic (nicotinic &amp; muscarinic) dysfunction</w:t>
      </w:r>
      <w:r w:rsidRPr="00181726">
        <w:t xml:space="preserve">: xerostomia, loss of taste, impotence. </w:t>
      </w:r>
    </w:p>
    <w:p w:rsidR="00904AB7" w:rsidRPr="00181726" w:rsidRDefault="00904AB7">
      <w:pPr>
        <w:pStyle w:val="NormalWeb"/>
        <w:numPr>
          <w:ilvl w:val="1"/>
          <w:numId w:val="4"/>
        </w:numPr>
      </w:pPr>
      <w:r w:rsidRPr="00181726">
        <w:t>orthostatic hypotension, sluggish pupillary responses, peripheral paresthesias are rare.</w:t>
      </w:r>
    </w:p>
    <w:p w:rsidR="00904AB7" w:rsidRPr="00181726" w:rsidRDefault="00904AB7">
      <w:pPr>
        <w:pStyle w:val="NormalWeb"/>
      </w:pPr>
    </w:p>
    <w:p w:rsidR="00904AB7" w:rsidRPr="00181726" w:rsidRDefault="00904AB7">
      <w:pPr>
        <w:pStyle w:val="NormalWeb"/>
      </w:pPr>
    </w:p>
    <w:p w:rsidR="00904AB7" w:rsidRPr="00181726" w:rsidRDefault="00904AB7">
      <w:pPr>
        <w:pStyle w:val="Nervous6"/>
        <w:ind w:right="8788"/>
      </w:pPr>
      <w:bookmarkStart w:id="9" w:name="_Toc48509463"/>
      <w:r w:rsidRPr="00181726">
        <w:t>Diagnosis</w:t>
      </w:r>
      <w:bookmarkEnd w:id="9"/>
    </w:p>
    <w:p w:rsidR="00904AB7" w:rsidRPr="00181726" w:rsidRDefault="00904AB7">
      <w:pPr>
        <w:pStyle w:val="NormalWeb"/>
        <w:numPr>
          <w:ilvl w:val="0"/>
          <w:numId w:val="4"/>
        </w:numPr>
      </w:pPr>
      <w:r w:rsidRPr="00181726">
        <w:t xml:space="preserve">negative </w:t>
      </w:r>
      <w:r w:rsidRPr="00181726">
        <w:rPr>
          <w:b/>
          <w:bCs/>
          <w:smallCaps/>
          <w:color w:val="FF0066"/>
        </w:rPr>
        <w:t>edrophonium</w:t>
      </w:r>
      <w:r w:rsidRPr="00181726">
        <w:rPr>
          <w:b/>
          <w:bCs/>
          <w:color w:val="FF0066"/>
        </w:rPr>
        <w:t xml:space="preserve"> test</w:t>
      </w:r>
      <w:r w:rsidRPr="00181726">
        <w:t>.</w:t>
      </w:r>
    </w:p>
    <w:p w:rsidR="00904AB7" w:rsidRPr="00181726" w:rsidRDefault="00904AB7">
      <w:pPr>
        <w:pStyle w:val="NormalWeb"/>
        <w:numPr>
          <w:ilvl w:val="0"/>
          <w:numId w:val="4"/>
        </w:numPr>
      </w:pPr>
      <w:r w:rsidRPr="00181726">
        <w:t xml:space="preserve">abnormally small CMAP amplitude on </w:t>
      </w:r>
      <w:r w:rsidRPr="00181726">
        <w:rPr>
          <w:b/>
          <w:bCs/>
          <w:color w:val="0000FF"/>
        </w:rPr>
        <w:t>EMG</w:t>
      </w:r>
      <w:r w:rsidRPr="00181726">
        <w:t>.</w:t>
      </w:r>
    </w:p>
    <w:p w:rsidR="00904AB7" w:rsidRPr="00181726" w:rsidRDefault="00904AB7">
      <w:pPr>
        <w:pStyle w:val="NormalWeb"/>
        <w:numPr>
          <w:ilvl w:val="0"/>
          <w:numId w:val="4"/>
        </w:numPr>
      </w:pPr>
      <w:r w:rsidRPr="00181726">
        <w:rPr>
          <w:b/>
          <w:bCs/>
          <w:color w:val="0000FF"/>
        </w:rPr>
        <w:t>repetitive nerve stimulation</w:t>
      </w:r>
      <w:r w:rsidRPr="00181726">
        <w:t>:</w:t>
      </w:r>
      <w:r w:rsidRPr="00181726">
        <w:tab/>
      </w:r>
      <w:r w:rsidRPr="00181726">
        <w:tab/>
      </w:r>
      <w:r w:rsidRPr="00181726">
        <w:tab/>
      </w:r>
      <w:r w:rsidRPr="00181726">
        <w:tab/>
      </w:r>
      <w:r w:rsidR="00CF491F">
        <w:rPr>
          <w:color w:val="808080"/>
        </w:rPr>
        <w:t xml:space="preserve">see </w:t>
      </w:r>
      <w:hyperlink r:id="rId8" w:history="1">
        <w:r w:rsidR="00CF491F" w:rsidRPr="0020215B">
          <w:rPr>
            <w:rStyle w:val="Hyperlink"/>
          </w:rPr>
          <w:t xml:space="preserve">p. </w:t>
        </w:r>
        <w:r w:rsidRPr="0020215B">
          <w:rPr>
            <w:rStyle w:val="Hyperlink"/>
          </w:rPr>
          <w:t>D20</w:t>
        </w:r>
        <w:r w:rsidR="0020215B" w:rsidRPr="0020215B">
          <w:rPr>
            <w:rStyle w:val="Hyperlink"/>
          </w:rPr>
          <w:t xml:space="preserve"> &gt;&gt;</w:t>
        </w:r>
      </w:hyperlink>
      <w:r w:rsidRPr="00181726">
        <w:rPr>
          <w:color w:val="808080"/>
        </w:rPr>
        <w:t xml:space="preserve">, </w:t>
      </w:r>
      <w:hyperlink r:id="rId9" w:history="1">
        <w:r w:rsidR="0020215B" w:rsidRPr="0020215B">
          <w:rPr>
            <w:rStyle w:val="Hyperlink"/>
          </w:rPr>
          <w:t xml:space="preserve">p. </w:t>
        </w:r>
        <w:r w:rsidRPr="0020215B">
          <w:rPr>
            <w:rStyle w:val="Hyperlink"/>
          </w:rPr>
          <w:t>D22</w:t>
        </w:r>
        <w:r w:rsidR="00CF491F" w:rsidRPr="0020215B">
          <w:rPr>
            <w:rStyle w:val="Hyperlink"/>
          </w:rPr>
          <w:t xml:space="preserve"> &gt;&gt;</w:t>
        </w:r>
      </w:hyperlink>
    </w:p>
    <w:p w:rsidR="00904AB7" w:rsidRPr="00181726" w:rsidRDefault="00904AB7">
      <w:pPr>
        <w:pStyle w:val="NormalWeb"/>
        <w:ind w:left="720"/>
      </w:pPr>
      <w:r w:rsidRPr="00181726">
        <w:t xml:space="preserve">at &gt; 10 Hz* → </w:t>
      </w:r>
      <w:r w:rsidRPr="00181726">
        <w:rPr>
          <w:u w:val="double" w:color="FF0000"/>
        </w:rPr>
        <w:t>CMAP increment</w:t>
      </w:r>
      <w:r w:rsidRPr="00181726">
        <w:t xml:space="preserve"> (2 to 20 times original)!!!</w:t>
      </w:r>
      <w:r w:rsidR="00344C49">
        <w:t xml:space="preserve"> – that is </w:t>
      </w:r>
      <w:r w:rsidR="00344C49" w:rsidRPr="00344C49">
        <w:rPr>
          <w:highlight w:val="yellow"/>
        </w:rPr>
        <w:t xml:space="preserve">the opposite </w:t>
      </w:r>
      <w:r w:rsidR="00344C49">
        <w:rPr>
          <w:highlight w:val="yellow"/>
        </w:rPr>
        <w:t>of</w:t>
      </w:r>
      <w:r w:rsidR="00344C49" w:rsidRPr="00344C49">
        <w:rPr>
          <w:highlight w:val="yellow"/>
        </w:rPr>
        <w:t xml:space="preserve"> myasthenia gravis</w:t>
      </w:r>
      <w:r w:rsidR="00344C49">
        <w:t>!!!</w:t>
      </w:r>
    </w:p>
    <w:p w:rsidR="00904AB7" w:rsidRPr="00181726" w:rsidRDefault="00904AB7">
      <w:pPr>
        <w:pStyle w:val="NormalWeb"/>
        <w:ind w:left="2880"/>
      </w:pPr>
      <w:r w:rsidRPr="00181726">
        <w:t>* facilitates calcium accumulation in nerve terminal</w:t>
      </w:r>
    </w:p>
    <w:p w:rsidR="00904AB7" w:rsidRPr="00181726" w:rsidRDefault="00904AB7">
      <w:pPr>
        <w:pStyle w:val="NormalWeb"/>
        <w:ind w:left="720"/>
      </w:pPr>
      <w:r w:rsidRPr="00181726">
        <w:t>at 2 Hz → CMAP decrement.</w:t>
      </w:r>
    </w:p>
    <w:p w:rsidR="00904AB7" w:rsidRPr="00181726" w:rsidRDefault="00904AB7">
      <w:pPr>
        <w:numPr>
          <w:ilvl w:val="0"/>
          <w:numId w:val="6"/>
        </w:numPr>
      </w:pPr>
      <w:r w:rsidRPr="00181726">
        <w:rPr>
          <w:u w:val="single"/>
        </w:rPr>
        <w:t>search for malignancy</w:t>
      </w:r>
      <w:r w:rsidRPr="00181726">
        <w:t>: chest X-ray, mammography, pelvic ultrasound.</w:t>
      </w:r>
    </w:p>
    <w:p w:rsidR="00904AB7" w:rsidRPr="00181726" w:rsidRDefault="00904AB7"/>
    <w:p w:rsidR="00904AB7" w:rsidRPr="00181726" w:rsidRDefault="00904AB7"/>
    <w:p w:rsidR="005A60D8" w:rsidRDefault="00904AB7" w:rsidP="005A60D8">
      <w:pPr>
        <w:pStyle w:val="Nervous6"/>
        <w:ind w:right="8504"/>
      </w:pPr>
      <w:bookmarkStart w:id="10" w:name="_Toc48509464"/>
      <w:r w:rsidRPr="005A60D8">
        <w:t>Treatment</w:t>
      </w:r>
      <w:bookmarkEnd w:id="10"/>
    </w:p>
    <w:p w:rsidR="00904AB7" w:rsidRPr="00181726" w:rsidRDefault="005A60D8">
      <w:r>
        <w:t xml:space="preserve">- </w:t>
      </w:r>
      <w:r w:rsidR="00904AB7" w:rsidRPr="00181726">
        <w:t>directed to concomitant tumor.</w:t>
      </w:r>
    </w:p>
    <w:p w:rsidR="005A60D8" w:rsidRDefault="005A60D8" w:rsidP="005A60D8">
      <w:pPr>
        <w:pStyle w:val="NormalWeb"/>
        <w:numPr>
          <w:ilvl w:val="0"/>
          <w:numId w:val="6"/>
        </w:numPr>
      </w:pPr>
      <w:r w:rsidRPr="005A60D8">
        <w:rPr>
          <w:rStyle w:val="Drugname2Char"/>
          <w:lang w:val="en-US"/>
        </w:rPr>
        <w:t>amifampridine</w:t>
      </w:r>
      <w:r>
        <w:t xml:space="preserve"> </w:t>
      </w:r>
      <w:r w:rsidRPr="005A60D8">
        <w:rPr>
          <w:rStyle w:val="Drugname2Char"/>
          <w:lang w:val="en-US"/>
        </w:rPr>
        <w:t>phosphate</w:t>
      </w:r>
      <w:r>
        <w:t xml:space="preserve"> (Firdapse) tablets – FDA approved (11/28/2018).</w:t>
      </w:r>
    </w:p>
    <w:p w:rsidR="00904AB7" w:rsidRPr="00181726" w:rsidRDefault="00904AB7">
      <w:pPr>
        <w:pStyle w:val="NormalWeb"/>
        <w:numPr>
          <w:ilvl w:val="0"/>
          <w:numId w:val="6"/>
        </w:numPr>
      </w:pPr>
      <w:r w:rsidRPr="00181726">
        <w:t xml:space="preserve">to </w:t>
      </w:r>
      <w:r w:rsidRPr="00181726">
        <w:rPr>
          <w:b/>
          <w:bCs/>
        </w:rPr>
        <w:t>facilitate ACh release</w:t>
      </w:r>
      <w:r w:rsidRPr="00181726">
        <w:t xml:space="preserve"> - combination </w:t>
      </w:r>
      <w:r w:rsidRPr="00181726">
        <w:rPr>
          <w:rStyle w:val="Drugname2Char"/>
          <w:lang w:val="en-US"/>
        </w:rPr>
        <w:t>pyridostigmine</w:t>
      </w:r>
      <w:r w:rsidRPr="00181726">
        <w:t xml:space="preserve"> + </w:t>
      </w:r>
      <w:r w:rsidRPr="00181726">
        <w:rPr>
          <w:rStyle w:val="Drugname2Char"/>
          <w:lang w:val="en-US"/>
        </w:rPr>
        <w:t>3-4-diaminopyridine</w:t>
      </w:r>
      <w:r w:rsidRPr="00181726">
        <w:t>.</w:t>
      </w:r>
    </w:p>
    <w:p w:rsidR="00904AB7" w:rsidRPr="00181726" w:rsidRDefault="00904AB7">
      <w:pPr>
        <w:pStyle w:val="NormalWeb"/>
        <w:numPr>
          <w:ilvl w:val="0"/>
          <w:numId w:val="6"/>
        </w:numPr>
      </w:pPr>
      <w:r w:rsidRPr="00181726">
        <w:t>other drugs that facilitate ACh release have had adverse effects:</w:t>
      </w:r>
    </w:p>
    <w:p w:rsidR="00904AB7" w:rsidRPr="00181726" w:rsidRDefault="00904AB7">
      <w:pPr>
        <w:pStyle w:val="NormalWeb"/>
        <w:ind w:left="1440"/>
      </w:pPr>
      <w:r w:rsidRPr="00181726">
        <w:rPr>
          <w:smallCaps/>
        </w:rPr>
        <w:lastRenderedPageBreak/>
        <w:t>guanidine</w:t>
      </w:r>
      <w:r w:rsidRPr="00181726">
        <w:t xml:space="preserve"> - bone marrow depression, cerebellar syndrome.</w:t>
      </w:r>
    </w:p>
    <w:p w:rsidR="00904AB7" w:rsidRPr="00181726" w:rsidRDefault="00904AB7">
      <w:pPr>
        <w:pStyle w:val="NormalWeb"/>
        <w:ind w:left="1440"/>
      </w:pPr>
      <w:r w:rsidRPr="00181726">
        <w:t>4-</w:t>
      </w:r>
      <w:r w:rsidRPr="00181726">
        <w:rPr>
          <w:smallCaps/>
        </w:rPr>
        <w:t>amino pyridine</w:t>
      </w:r>
      <w:r w:rsidRPr="00181726">
        <w:t xml:space="preserve"> - convulsions.</w:t>
      </w:r>
    </w:p>
    <w:p w:rsidR="00904AB7" w:rsidRPr="00181726" w:rsidRDefault="00904AB7">
      <w:pPr>
        <w:pStyle w:val="NormalWeb"/>
        <w:numPr>
          <w:ilvl w:val="0"/>
          <w:numId w:val="6"/>
        </w:numPr>
      </w:pPr>
      <w:r w:rsidRPr="00181726">
        <w:rPr>
          <w:b/>
          <w:bCs/>
        </w:rPr>
        <w:t>IVIG, plasmapheresis</w:t>
      </w:r>
      <w:r w:rsidRPr="00181726">
        <w:t xml:space="preserve"> effects are transient.</w:t>
      </w:r>
    </w:p>
    <w:p w:rsidR="00904AB7" w:rsidRPr="00181726" w:rsidRDefault="00904AB7">
      <w:pPr>
        <w:pStyle w:val="NormalWeb"/>
        <w:numPr>
          <w:ilvl w:val="0"/>
          <w:numId w:val="6"/>
        </w:numPr>
      </w:pPr>
      <w:r w:rsidRPr="00181726">
        <w:rPr>
          <w:b/>
          <w:bCs/>
        </w:rPr>
        <w:t>cytotoxic drugs</w:t>
      </w:r>
      <w:r w:rsidRPr="00181726">
        <w:t xml:space="preserve"> should be used cautiously.</w:t>
      </w:r>
    </w:p>
    <w:p w:rsidR="00904AB7" w:rsidRPr="00181726" w:rsidRDefault="00904AB7">
      <w:pPr>
        <w:pStyle w:val="NormalWeb"/>
        <w:numPr>
          <w:ilvl w:val="0"/>
          <w:numId w:val="6"/>
        </w:numPr>
      </w:pPr>
      <w:r w:rsidRPr="00181726">
        <w:rPr>
          <w:szCs w:val="20"/>
        </w:rPr>
        <w:t xml:space="preserve">optimal treatment of non-neoplastic cases - modest doses of alternate-day </w:t>
      </w:r>
      <w:r w:rsidRPr="00181726">
        <w:rPr>
          <w:rStyle w:val="Drugname2Char"/>
          <w:lang w:val="en-US"/>
        </w:rPr>
        <w:t>prednisone</w:t>
      </w:r>
      <w:r w:rsidRPr="00181726">
        <w:rPr>
          <w:szCs w:val="20"/>
        </w:rPr>
        <w:t>.</w:t>
      </w:r>
    </w:p>
    <w:p w:rsidR="009A3A60" w:rsidRPr="00181726" w:rsidRDefault="009A3A60" w:rsidP="009A3A60"/>
    <w:p w:rsidR="009A3A60" w:rsidRPr="00181726" w:rsidRDefault="009A3A60" w:rsidP="009A3A60"/>
    <w:p w:rsidR="009A3A60" w:rsidRPr="00181726" w:rsidRDefault="009A3A60" w:rsidP="009A3A60"/>
    <w:p w:rsidR="009A3A60" w:rsidRPr="00181726" w:rsidRDefault="009A3A60" w:rsidP="009A3A60"/>
    <w:p w:rsidR="009A3A60" w:rsidRPr="00181726" w:rsidRDefault="009A3A60" w:rsidP="009A3A60"/>
    <w:p w:rsidR="009A3A60" w:rsidRPr="00181726" w:rsidRDefault="009A3A60" w:rsidP="009A3A60"/>
    <w:p w:rsidR="009A3A60" w:rsidRPr="00181726" w:rsidRDefault="009A3A60" w:rsidP="009A3A60">
      <w:pPr>
        <w:rPr>
          <w:szCs w:val="24"/>
        </w:rPr>
      </w:pPr>
      <w:r w:rsidRPr="00181726">
        <w:rPr>
          <w:smallCaps/>
          <w:szCs w:val="24"/>
          <w:u w:val="single"/>
        </w:rPr>
        <w:t>Bibliography</w:t>
      </w:r>
      <w:r w:rsidRPr="00181726">
        <w:rPr>
          <w:szCs w:val="24"/>
        </w:rPr>
        <w:t xml:space="preserve"> for ch. “Neuromuscular, Muscular Disorders” → follow this </w:t>
      </w:r>
      <w:hyperlink r:id="rId10" w:tgtFrame="_blank" w:history="1">
        <w:r w:rsidRPr="00181726">
          <w:rPr>
            <w:rStyle w:val="Hyperlink"/>
            <w:smallCaps/>
            <w:szCs w:val="24"/>
          </w:rPr>
          <w:t>link</w:t>
        </w:r>
        <w:r w:rsidRPr="00181726">
          <w:rPr>
            <w:rStyle w:val="Hyperlink"/>
            <w:szCs w:val="24"/>
          </w:rPr>
          <w:t xml:space="preserve"> &gt;&gt;</w:t>
        </w:r>
      </w:hyperlink>
    </w:p>
    <w:p w:rsidR="009A3A60" w:rsidRPr="00181726" w:rsidRDefault="009A3A60" w:rsidP="009A3A60">
      <w:pPr>
        <w:rPr>
          <w:sz w:val="20"/>
        </w:rPr>
      </w:pPr>
    </w:p>
    <w:p w:rsidR="009A3A60" w:rsidRPr="00181726" w:rsidRDefault="009A3A60" w:rsidP="009A3A60">
      <w:pPr>
        <w:pBdr>
          <w:bottom w:val="single" w:sz="4" w:space="1" w:color="auto"/>
        </w:pBdr>
        <w:ind w:right="57"/>
        <w:rPr>
          <w:sz w:val="20"/>
        </w:rPr>
      </w:pPr>
    </w:p>
    <w:p w:rsidR="009A3A60" w:rsidRPr="00181726" w:rsidRDefault="009A3A60" w:rsidP="009A3A60">
      <w:pPr>
        <w:pBdr>
          <w:bottom w:val="single" w:sz="4" w:space="1" w:color="auto"/>
        </w:pBdr>
        <w:ind w:right="57"/>
        <w:rPr>
          <w:sz w:val="20"/>
        </w:rPr>
      </w:pPr>
    </w:p>
    <w:p w:rsidR="009A3A60" w:rsidRPr="00181726" w:rsidRDefault="00114A67" w:rsidP="009A3A6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1" w:tgtFrame="_blank" w:history="1">
        <w:r w:rsidR="009A3A60" w:rsidRPr="0018172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9A3A60" w:rsidRPr="00181726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9A3A60" w:rsidRPr="00181726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9A3A60" w:rsidRPr="0018172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9A3A60" w:rsidRPr="00181726" w:rsidRDefault="00114A67" w:rsidP="009A3A60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2" w:tgtFrame="_blank" w:history="1">
        <w:r w:rsidR="009A3A60" w:rsidRPr="00181726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904AB7" w:rsidRPr="00181726" w:rsidRDefault="00904AB7" w:rsidP="009A3A60"/>
    <w:sectPr w:rsidR="00904AB7" w:rsidRPr="00181726" w:rsidSect="00E64718">
      <w:headerReference w:type="default" r:id="rId13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3C" w:rsidRDefault="00214C3C">
      <w:r>
        <w:separator/>
      </w:r>
    </w:p>
  </w:endnote>
  <w:endnote w:type="continuationSeparator" w:id="0">
    <w:p w:rsidR="00214C3C" w:rsidRDefault="0021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3C" w:rsidRDefault="00214C3C">
      <w:r>
        <w:separator/>
      </w:r>
    </w:p>
  </w:footnote>
  <w:footnote w:type="continuationSeparator" w:id="0">
    <w:p w:rsidR="00214C3C" w:rsidRDefault="0021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B7" w:rsidRPr="00D22D02" w:rsidRDefault="009A71D6" w:rsidP="00D22D02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D02">
      <w:rPr>
        <w:b/>
        <w:caps/>
      </w:rPr>
      <w:tab/>
    </w:r>
    <w:r w:rsidR="006075A9" w:rsidRPr="006075A9">
      <w:rPr>
        <w:b/>
        <w:smallCaps/>
      </w:rPr>
      <w:t>Other Neuromuscular Transmission Disorders</w:t>
    </w:r>
    <w:r w:rsidR="00D22D02">
      <w:rPr>
        <w:b/>
        <w:bCs/>
        <w:iCs/>
        <w:smallCaps/>
      </w:rPr>
      <w:tab/>
    </w:r>
    <w:r w:rsidR="006075A9">
      <w:t>Mus2</w:t>
    </w:r>
    <w:r w:rsidR="00D22D02">
      <w:t xml:space="preserve"> (</w:t>
    </w:r>
    <w:r w:rsidR="00D22D02">
      <w:fldChar w:fldCharType="begin"/>
    </w:r>
    <w:r w:rsidR="00D22D02">
      <w:instrText xml:space="preserve"> PAGE </w:instrText>
    </w:r>
    <w:r w:rsidR="00D22D02">
      <w:fldChar w:fldCharType="separate"/>
    </w:r>
    <w:r w:rsidR="00114A67">
      <w:rPr>
        <w:noProof/>
      </w:rPr>
      <w:t>1</w:t>
    </w:r>
    <w:r w:rsidR="00D22D02">
      <w:fldChar w:fldCharType="end"/>
    </w:r>
    <w:r w:rsidR="00D22D02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5294"/>
    <w:multiLevelType w:val="hybridMultilevel"/>
    <w:tmpl w:val="9EFE01FA"/>
    <w:lvl w:ilvl="0" w:tplc="453431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1720D0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7C45"/>
    <w:multiLevelType w:val="hybridMultilevel"/>
    <w:tmpl w:val="5F50E33A"/>
    <w:lvl w:ilvl="0" w:tplc="453431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6573"/>
    <w:multiLevelType w:val="hybridMultilevel"/>
    <w:tmpl w:val="4D74C3FE"/>
    <w:lvl w:ilvl="0" w:tplc="453431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F2AAE"/>
    <w:multiLevelType w:val="hybridMultilevel"/>
    <w:tmpl w:val="2DE61F0E"/>
    <w:lvl w:ilvl="0" w:tplc="453431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A5ED67C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F6566"/>
    <w:multiLevelType w:val="hybridMultilevel"/>
    <w:tmpl w:val="B0CE3AFC"/>
    <w:lvl w:ilvl="0" w:tplc="453431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C3DB7"/>
    <w:multiLevelType w:val="hybridMultilevel"/>
    <w:tmpl w:val="BD840B42"/>
    <w:lvl w:ilvl="0" w:tplc="9A124C8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3E"/>
    <w:rsid w:val="00047424"/>
    <w:rsid w:val="00114A67"/>
    <w:rsid w:val="00151514"/>
    <w:rsid w:val="00181726"/>
    <w:rsid w:val="00184D62"/>
    <w:rsid w:val="001E351C"/>
    <w:rsid w:val="0020215B"/>
    <w:rsid w:val="00214C3C"/>
    <w:rsid w:val="00254556"/>
    <w:rsid w:val="00344C49"/>
    <w:rsid w:val="00387298"/>
    <w:rsid w:val="005A60D8"/>
    <w:rsid w:val="005F2284"/>
    <w:rsid w:val="005F4F3D"/>
    <w:rsid w:val="006075A9"/>
    <w:rsid w:val="0065428F"/>
    <w:rsid w:val="006B5614"/>
    <w:rsid w:val="007A2701"/>
    <w:rsid w:val="00904AB7"/>
    <w:rsid w:val="009063EC"/>
    <w:rsid w:val="00981F58"/>
    <w:rsid w:val="009A33F7"/>
    <w:rsid w:val="009A3A60"/>
    <w:rsid w:val="009A71D6"/>
    <w:rsid w:val="009D1DF6"/>
    <w:rsid w:val="009D7998"/>
    <w:rsid w:val="00A72D74"/>
    <w:rsid w:val="00B13772"/>
    <w:rsid w:val="00BF6F38"/>
    <w:rsid w:val="00C64D3E"/>
    <w:rsid w:val="00C65399"/>
    <w:rsid w:val="00CF491F"/>
    <w:rsid w:val="00D22D02"/>
    <w:rsid w:val="00E64718"/>
    <w:rsid w:val="00EE4633"/>
    <w:rsid w:val="00F3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ABEE20E-88D5-499F-898F-239C7F97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28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51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15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15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5F2284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F22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F2284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5F2284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5F2284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5F2284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5F2284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5F2284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5F2284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5F2284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5F2284"/>
    <w:rPr>
      <w:color w:val="999999"/>
      <w:u w:val="none"/>
    </w:rPr>
  </w:style>
  <w:style w:type="paragraph" w:customStyle="1" w:styleId="Nervous4">
    <w:name w:val="Nervous 4"/>
    <w:basedOn w:val="Normal"/>
    <w:rsid w:val="005F22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5F228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5F2284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5F2284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5F2284"/>
    <w:rPr>
      <w:szCs w:val="24"/>
    </w:rPr>
  </w:style>
  <w:style w:type="paragraph" w:customStyle="1" w:styleId="Nervous6">
    <w:name w:val="Nervous 6"/>
    <w:basedOn w:val="Normal"/>
    <w:rsid w:val="005F2284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5F2284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5F2284"/>
    <w:rPr>
      <w:b w:val="0"/>
      <w:caps w:val="0"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5F2284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Drugname2Char">
    <w:name w:val="Drug name 2 Char"/>
    <w:basedOn w:val="DefaultParagraphFont"/>
    <w:link w:val="Drugname2"/>
    <w:rsid w:val="00C64D3E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rsid w:val="005F2284"/>
    <w:rPr>
      <w:color w:val="999999"/>
      <w:u w:val="none"/>
    </w:rPr>
  </w:style>
  <w:style w:type="paragraph" w:customStyle="1" w:styleId="Nervous9">
    <w:name w:val="Nervous 9"/>
    <w:rsid w:val="005F2284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5F2284"/>
    <w:rPr>
      <w:i/>
      <w:smallCaps/>
      <w:color w:val="999999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515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515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1515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D.%20Diagnostics\D20-29.%20Electrophysiology%20(EEG,%20evoked%20potentials,%20MEG,%20EMG,%20nerve%20conduction)\D20.%20EMG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Mus.%20Muscular,%20Neuromuscular%20disorders\Mus1.%20Myasthenia%20Gravis.pdf" TargetMode="External"/><Relationship Id="rId12" Type="http://schemas.openxmlformats.org/officeDocument/2006/relationships/hyperlink" Target="http://www.neurosurgeryresid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urosurgeryresident.net/Mus.%20Muscular,%20Neuromuscular%20disorders\Mus.%20Bibliograph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D.%20Diagnostics\D20-29.%20Electrophysiology%20(EEG,%20evoked%20potentials,%20MEG,%20EMG,%20nerve%20conduction)\D22.%20Nerve%20Conduction%20Studie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14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Other Neuromuscular Transmission Disorders</vt:lpstr>
    </vt:vector>
  </TitlesOfParts>
  <Company>www.NeurosurgeryResident.net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Other Neuromuscular Transmission Disorders</dc:title>
  <dc:subject/>
  <dc:creator>Viktoras Palys, MD</dc:creator>
  <cp:keywords/>
  <cp:lastModifiedBy>Viktoras Palys</cp:lastModifiedBy>
  <cp:revision>9</cp:revision>
  <cp:lastPrinted>2020-12-22T07:01:00Z</cp:lastPrinted>
  <dcterms:created xsi:type="dcterms:W3CDTF">2016-03-14T03:59:00Z</dcterms:created>
  <dcterms:modified xsi:type="dcterms:W3CDTF">2020-12-22T07:01:00Z</dcterms:modified>
</cp:coreProperties>
</file>