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EDA" w:rsidRDefault="00442EDA" w:rsidP="00A65185">
      <w:pPr>
        <w:pStyle w:val="Title"/>
      </w:pPr>
      <w:bookmarkStart w:id="0" w:name="_GoBack"/>
      <w:r>
        <w:t xml:space="preserve">General Principles of </w:t>
      </w:r>
      <w:r w:rsidR="002A214F">
        <w:t>Perio</w:t>
      </w:r>
      <w:r>
        <w:t>perative Neurosurgery</w:t>
      </w:r>
    </w:p>
    <w:p w:rsidR="00950829" w:rsidRDefault="00950829" w:rsidP="00950829">
      <w:pPr>
        <w:spacing w:after="120"/>
        <w:jc w:val="right"/>
      </w:pPr>
      <w:r>
        <w:t xml:space="preserve">Last updated: </w:t>
      </w:r>
      <w:r>
        <w:fldChar w:fldCharType="begin"/>
      </w:r>
      <w:r>
        <w:instrText xml:space="preserve"> SAVEDATE  \@ "MMMM d, yyyy"  \* MERGEFORMAT </w:instrText>
      </w:r>
      <w:r>
        <w:fldChar w:fldCharType="separate"/>
      </w:r>
      <w:r w:rsidR="00B61CF0">
        <w:rPr>
          <w:noProof/>
        </w:rPr>
        <w:t>December 20, 2020</w:t>
      </w:r>
      <w:r>
        <w:fldChar w:fldCharType="end"/>
      </w:r>
    </w:p>
    <w:p w:rsidR="00AB45BD" w:rsidRDefault="00BF0BB6">
      <w:pPr>
        <w:pStyle w:val="TOC1"/>
        <w:rPr>
          <w:rFonts w:asciiTheme="minorHAnsi" w:eastAsiaTheme="minorEastAsia" w:hAnsiTheme="minorHAnsi" w:cstheme="minorBidi"/>
          <w:b w:val="0"/>
          <w:smallCaps w:val="0"/>
          <w:noProof/>
          <w:sz w:val="22"/>
          <w:szCs w:val="22"/>
          <w:lang w:val="en-US"/>
        </w:rPr>
      </w:pPr>
      <w:r>
        <w:fldChar w:fldCharType="begin"/>
      </w:r>
      <w:r>
        <w:instrText xml:space="preserve"> TOC \h \z \t "Nervous 1,2,Antraštė,1,Nervous 5,3,Nervous 6,4" </w:instrText>
      </w:r>
      <w:r>
        <w:fldChar w:fldCharType="separate"/>
      </w:r>
      <w:hyperlink w:anchor="_Toc4283042" w:history="1">
        <w:r w:rsidR="00AB45BD" w:rsidRPr="007877D9">
          <w:rPr>
            <w:rStyle w:val="Hyperlink"/>
            <w:noProof/>
          </w:rPr>
          <w:t>Morbidity, Mortality</w:t>
        </w:r>
        <w:r w:rsidR="00AB45BD">
          <w:rPr>
            <w:noProof/>
            <w:webHidden/>
          </w:rPr>
          <w:tab/>
        </w:r>
        <w:r w:rsidR="00AB45BD">
          <w:rPr>
            <w:noProof/>
            <w:webHidden/>
          </w:rPr>
          <w:fldChar w:fldCharType="begin"/>
        </w:r>
        <w:r w:rsidR="00AB45BD">
          <w:rPr>
            <w:noProof/>
            <w:webHidden/>
          </w:rPr>
          <w:instrText xml:space="preserve"> PAGEREF _Toc4283042 \h </w:instrText>
        </w:r>
        <w:r w:rsidR="00AB45BD">
          <w:rPr>
            <w:noProof/>
            <w:webHidden/>
          </w:rPr>
        </w:r>
        <w:r w:rsidR="00AB45BD">
          <w:rPr>
            <w:noProof/>
            <w:webHidden/>
          </w:rPr>
          <w:fldChar w:fldCharType="separate"/>
        </w:r>
        <w:r w:rsidR="00B61CF0">
          <w:rPr>
            <w:noProof/>
            <w:webHidden/>
          </w:rPr>
          <w:t>1</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43" w:history="1">
        <w:r w:rsidR="00AB45BD" w:rsidRPr="007877D9">
          <w:rPr>
            <w:rStyle w:val="Hyperlink"/>
            <w:noProof/>
          </w:rPr>
          <w:t>Imaging</w:t>
        </w:r>
        <w:r w:rsidR="00AB45BD">
          <w:rPr>
            <w:noProof/>
            <w:webHidden/>
          </w:rPr>
          <w:tab/>
        </w:r>
        <w:r w:rsidR="00AB45BD">
          <w:rPr>
            <w:noProof/>
            <w:webHidden/>
          </w:rPr>
          <w:fldChar w:fldCharType="begin"/>
        </w:r>
        <w:r w:rsidR="00AB45BD">
          <w:rPr>
            <w:noProof/>
            <w:webHidden/>
          </w:rPr>
          <w:instrText xml:space="preserve"> PAGEREF _Toc4283043 \h </w:instrText>
        </w:r>
        <w:r w:rsidR="00AB45BD">
          <w:rPr>
            <w:noProof/>
            <w:webHidden/>
          </w:rPr>
        </w:r>
        <w:r w:rsidR="00AB45BD">
          <w:rPr>
            <w:noProof/>
            <w:webHidden/>
          </w:rPr>
          <w:fldChar w:fldCharType="separate"/>
        </w:r>
        <w:r>
          <w:rPr>
            <w:noProof/>
            <w:webHidden/>
          </w:rPr>
          <w:t>2</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44" w:history="1">
        <w:r w:rsidR="00AB45BD" w:rsidRPr="007877D9">
          <w:rPr>
            <w:rStyle w:val="Hyperlink"/>
            <w:noProof/>
          </w:rPr>
          <w:t>Anticoagulants / Reversal</w:t>
        </w:r>
        <w:r w:rsidR="00AB45BD">
          <w:rPr>
            <w:noProof/>
            <w:webHidden/>
          </w:rPr>
          <w:tab/>
        </w:r>
        <w:r w:rsidR="00AB45BD">
          <w:rPr>
            <w:noProof/>
            <w:webHidden/>
          </w:rPr>
          <w:fldChar w:fldCharType="begin"/>
        </w:r>
        <w:r w:rsidR="00AB45BD">
          <w:rPr>
            <w:noProof/>
            <w:webHidden/>
          </w:rPr>
          <w:instrText xml:space="preserve"> PAGEREF _Toc4283044 \h </w:instrText>
        </w:r>
        <w:r w:rsidR="00AB45BD">
          <w:rPr>
            <w:noProof/>
            <w:webHidden/>
          </w:rPr>
        </w:r>
        <w:r w:rsidR="00AB45BD">
          <w:rPr>
            <w:noProof/>
            <w:webHidden/>
          </w:rPr>
          <w:fldChar w:fldCharType="separate"/>
        </w:r>
        <w:r>
          <w:rPr>
            <w:noProof/>
            <w:webHidden/>
          </w:rPr>
          <w:t>2</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45" w:history="1">
        <w:r w:rsidR="00AB45BD" w:rsidRPr="007877D9">
          <w:rPr>
            <w:rStyle w:val="Hyperlink"/>
            <w:noProof/>
          </w:rPr>
          <w:t>Antiaggregants / Reversal</w:t>
        </w:r>
        <w:r w:rsidR="00AB45BD">
          <w:rPr>
            <w:noProof/>
            <w:webHidden/>
          </w:rPr>
          <w:tab/>
        </w:r>
        <w:r w:rsidR="00AB45BD">
          <w:rPr>
            <w:noProof/>
            <w:webHidden/>
          </w:rPr>
          <w:fldChar w:fldCharType="begin"/>
        </w:r>
        <w:r w:rsidR="00AB45BD">
          <w:rPr>
            <w:noProof/>
            <w:webHidden/>
          </w:rPr>
          <w:instrText xml:space="preserve"> PAGEREF _Toc4283045 \h </w:instrText>
        </w:r>
        <w:r w:rsidR="00AB45BD">
          <w:rPr>
            <w:noProof/>
            <w:webHidden/>
          </w:rPr>
        </w:r>
        <w:r w:rsidR="00AB45BD">
          <w:rPr>
            <w:noProof/>
            <w:webHidden/>
          </w:rPr>
          <w:fldChar w:fldCharType="separate"/>
        </w:r>
        <w:r>
          <w:rPr>
            <w:noProof/>
            <w:webHidden/>
          </w:rPr>
          <w:t>2</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46" w:history="1">
        <w:r w:rsidR="00AB45BD" w:rsidRPr="007877D9">
          <w:rPr>
            <w:rStyle w:val="Hyperlink"/>
            <w:noProof/>
          </w:rPr>
          <w:t>Diabetes</w:t>
        </w:r>
        <w:r w:rsidR="00AB45BD">
          <w:rPr>
            <w:noProof/>
            <w:webHidden/>
          </w:rPr>
          <w:tab/>
        </w:r>
        <w:r w:rsidR="00AB45BD">
          <w:rPr>
            <w:noProof/>
            <w:webHidden/>
          </w:rPr>
          <w:fldChar w:fldCharType="begin"/>
        </w:r>
        <w:r w:rsidR="00AB45BD">
          <w:rPr>
            <w:noProof/>
            <w:webHidden/>
          </w:rPr>
          <w:instrText xml:space="preserve"> PAGEREF _Toc4283046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47" w:history="1">
        <w:r w:rsidR="00AB45BD" w:rsidRPr="007877D9">
          <w:rPr>
            <w:rStyle w:val="Hyperlink"/>
            <w:noProof/>
          </w:rPr>
          <w:t>Antihypertensives</w:t>
        </w:r>
        <w:r w:rsidR="00AB45BD">
          <w:rPr>
            <w:noProof/>
            <w:webHidden/>
          </w:rPr>
          <w:tab/>
        </w:r>
        <w:r w:rsidR="00AB45BD">
          <w:rPr>
            <w:noProof/>
            <w:webHidden/>
          </w:rPr>
          <w:fldChar w:fldCharType="begin"/>
        </w:r>
        <w:r w:rsidR="00AB45BD">
          <w:rPr>
            <w:noProof/>
            <w:webHidden/>
          </w:rPr>
          <w:instrText xml:space="preserve"> PAGEREF _Toc4283047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48" w:history="1">
        <w:r w:rsidR="00AB45BD" w:rsidRPr="007877D9">
          <w:rPr>
            <w:rStyle w:val="Hyperlink"/>
            <w:noProof/>
          </w:rPr>
          <w:t>Sedation</w:t>
        </w:r>
        <w:r w:rsidR="00AB45BD">
          <w:rPr>
            <w:noProof/>
            <w:webHidden/>
          </w:rPr>
          <w:tab/>
        </w:r>
        <w:r w:rsidR="00AB45BD">
          <w:rPr>
            <w:noProof/>
            <w:webHidden/>
          </w:rPr>
          <w:fldChar w:fldCharType="begin"/>
        </w:r>
        <w:r w:rsidR="00AB45BD">
          <w:rPr>
            <w:noProof/>
            <w:webHidden/>
          </w:rPr>
          <w:instrText xml:space="preserve"> PAGEREF _Toc4283048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49" w:history="1">
        <w:r w:rsidR="00AB45BD" w:rsidRPr="007877D9">
          <w:rPr>
            <w:rStyle w:val="Hyperlink"/>
            <w:noProof/>
          </w:rPr>
          <w:t>Seizure prophylaxis</w:t>
        </w:r>
        <w:r w:rsidR="00AB45BD">
          <w:rPr>
            <w:noProof/>
            <w:webHidden/>
          </w:rPr>
          <w:tab/>
        </w:r>
        <w:r w:rsidR="00AB45BD">
          <w:rPr>
            <w:noProof/>
            <w:webHidden/>
          </w:rPr>
          <w:fldChar w:fldCharType="begin"/>
        </w:r>
        <w:r w:rsidR="00AB45BD">
          <w:rPr>
            <w:noProof/>
            <w:webHidden/>
          </w:rPr>
          <w:instrText xml:space="preserve"> PAGEREF _Toc4283049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50" w:history="1">
        <w:r w:rsidR="00AB45BD" w:rsidRPr="007877D9">
          <w:rPr>
            <w:rStyle w:val="Hyperlink"/>
            <w:noProof/>
          </w:rPr>
          <w:t>Nausea And Vomiting</w:t>
        </w:r>
        <w:r w:rsidR="00AB45BD">
          <w:rPr>
            <w:noProof/>
            <w:webHidden/>
          </w:rPr>
          <w:tab/>
        </w:r>
        <w:r w:rsidR="00AB45BD">
          <w:rPr>
            <w:noProof/>
            <w:webHidden/>
          </w:rPr>
          <w:fldChar w:fldCharType="begin"/>
        </w:r>
        <w:r w:rsidR="00AB45BD">
          <w:rPr>
            <w:noProof/>
            <w:webHidden/>
          </w:rPr>
          <w:instrText xml:space="preserve"> PAGEREF _Toc4283050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51" w:history="1">
        <w:r w:rsidR="00AB45BD" w:rsidRPr="007877D9">
          <w:rPr>
            <w:rStyle w:val="Hyperlink"/>
            <w:noProof/>
          </w:rPr>
          <w:t>Feeding</w:t>
        </w:r>
        <w:r w:rsidR="00AB45BD">
          <w:rPr>
            <w:noProof/>
            <w:webHidden/>
          </w:rPr>
          <w:tab/>
        </w:r>
        <w:r w:rsidR="00AB45BD">
          <w:rPr>
            <w:noProof/>
            <w:webHidden/>
          </w:rPr>
          <w:fldChar w:fldCharType="begin"/>
        </w:r>
        <w:r w:rsidR="00AB45BD">
          <w:rPr>
            <w:noProof/>
            <w:webHidden/>
          </w:rPr>
          <w:instrText xml:space="preserve"> PAGEREF _Toc4283051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4"/>
        <w:rPr>
          <w:rFonts w:asciiTheme="minorHAnsi" w:eastAsiaTheme="minorEastAsia" w:hAnsiTheme="minorHAnsi" w:cstheme="minorBidi"/>
          <w:noProof/>
          <w:sz w:val="22"/>
          <w:szCs w:val="22"/>
        </w:rPr>
      </w:pPr>
      <w:hyperlink w:anchor="_Toc4283052" w:history="1">
        <w:r w:rsidR="00AB45BD" w:rsidRPr="007877D9">
          <w:rPr>
            <w:rStyle w:val="Hyperlink"/>
            <w:noProof/>
          </w:rPr>
          <w:t>Stomach protection</w:t>
        </w:r>
        <w:r w:rsidR="00AB45BD">
          <w:rPr>
            <w:noProof/>
            <w:webHidden/>
          </w:rPr>
          <w:tab/>
        </w:r>
        <w:r w:rsidR="00AB45BD">
          <w:rPr>
            <w:noProof/>
            <w:webHidden/>
          </w:rPr>
          <w:fldChar w:fldCharType="begin"/>
        </w:r>
        <w:r w:rsidR="00AB45BD">
          <w:rPr>
            <w:noProof/>
            <w:webHidden/>
          </w:rPr>
          <w:instrText xml:space="preserve"> PAGEREF _Toc4283052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53" w:history="1">
        <w:r w:rsidR="00AB45BD" w:rsidRPr="007877D9">
          <w:rPr>
            <w:rStyle w:val="Hyperlink"/>
            <w:noProof/>
          </w:rPr>
          <w:t>Alcohol</w:t>
        </w:r>
        <w:r w:rsidR="00AB45BD">
          <w:rPr>
            <w:noProof/>
            <w:webHidden/>
          </w:rPr>
          <w:tab/>
        </w:r>
        <w:r w:rsidR="00AB45BD">
          <w:rPr>
            <w:noProof/>
            <w:webHidden/>
          </w:rPr>
          <w:fldChar w:fldCharType="begin"/>
        </w:r>
        <w:r w:rsidR="00AB45BD">
          <w:rPr>
            <w:noProof/>
            <w:webHidden/>
          </w:rPr>
          <w:instrText xml:space="preserve"> PAGEREF _Toc4283053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54" w:history="1">
        <w:r w:rsidR="00AB45BD" w:rsidRPr="007877D9">
          <w:rPr>
            <w:rStyle w:val="Hyperlink"/>
            <w:noProof/>
          </w:rPr>
          <w:t>Cardiovascular and Pulmonary</w:t>
        </w:r>
        <w:r w:rsidR="00AB45BD">
          <w:rPr>
            <w:noProof/>
            <w:webHidden/>
          </w:rPr>
          <w:tab/>
        </w:r>
        <w:r w:rsidR="00AB45BD">
          <w:rPr>
            <w:noProof/>
            <w:webHidden/>
          </w:rPr>
          <w:fldChar w:fldCharType="begin"/>
        </w:r>
        <w:r w:rsidR="00AB45BD">
          <w:rPr>
            <w:noProof/>
            <w:webHidden/>
          </w:rPr>
          <w:instrText xml:space="preserve"> PAGEREF _Toc4283054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2"/>
        <w:tabs>
          <w:tab w:val="right" w:leader="dot" w:pos="9912"/>
        </w:tabs>
        <w:rPr>
          <w:rFonts w:asciiTheme="minorHAnsi" w:eastAsiaTheme="minorEastAsia" w:hAnsiTheme="minorHAnsi" w:cstheme="minorBidi"/>
          <w:smallCaps w:val="0"/>
          <w:noProof/>
          <w:sz w:val="22"/>
          <w:szCs w:val="22"/>
        </w:rPr>
      </w:pPr>
      <w:hyperlink w:anchor="_Toc4283055" w:history="1">
        <w:r w:rsidR="00AB45BD" w:rsidRPr="007877D9">
          <w:rPr>
            <w:rStyle w:val="Hyperlink"/>
            <w:noProof/>
          </w:rPr>
          <w:t>Minimally Invasive Hemodynamic Monitoring</w:t>
        </w:r>
        <w:r w:rsidR="00AB45BD">
          <w:rPr>
            <w:noProof/>
            <w:webHidden/>
          </w:rPr>
          <w:tab/>
        </w:r>
        <w:r w:rsidR="00AB45BD">
          <w:rPr>
            <w:noProof/>
            <w:webHidden/>
          </w:rPr>
          <w:fldChar w:fldCharType="begin"/>
        </w:r>
        <w:r w:rsidR="00AB45BD">
          <w:rPr>
            <w:noProof/>
            <w:webHidden/>
          </w:rPr>
          <w:instrText xml:space="preserve"> PAGEREF _Toc4283055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4"/>
        <w:rPr>
          <w:rFonts w:asciiTheme="minorHAnsi" w:eastAsiaTheme="minorEastAsia" w:hAnsiTheme="minorHAnsi" w:cstheme="minorBidi"/>
          <w:noProof/>
          <w:sz w:val="22"/>
          <w:szCs w:val="22"/>
        </w:rPr>
      </w:pPr>
      <w:hyperlink w:anchor="_Toc4283056" w:history="1">
        <w:r w:rsidR="00AB45BD" w:rsidRPr="007877D9">
          <w:rPr>
            <w:rStyle w:val="Hyperlink"/>
            <w:noProof/>
          </w:rPr>
          <w:t>Vigileo monitor</w:t>
        </w:r>
        <w:r w:rsidR="00AB45BD">
          <w:rPr>
            <w:noProof/>
            <w:webHidden/>
          </w:rPr>
          <w:tab/>
        </w:r>
        <w:r w:rsidR="00AB45BD">
          <w:rPr>
            <w:noProof/>
            <w:webHidden/>
          </w:rPr>
          <w:fldChar w:fldCharType="begin"/>
        </w:r>
        <w:r w:rsidR="00AB45BD">
          <w:rPr>
            <w:noProof/>
            <w:webHidden/>
          </w:rPr>
          <w:instrText xml:space="preserve"> PAGEREF _Toc4283056 \h </w:instrText>
        </w:r>
        <w:r w:rsidR="00AB45BD">
          <w:rPr>
            <w:noProof/>
            <w:webHidden/>
          </w:rPr>
        </w:r>
        <w:r w:rsidR="00AB45BD">
          <w:rPr>
            <w:noProof/>
            <w:webHidden/>
          </w:rPr>
          <w:fldChar w:fldCharType="separate"/>
        </w:r>
        <w:r>
          <w:rPr>
            <w:noProof/>
            <w:webHidden/>
          </w:rPr>
          <w:t>3</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57" w:history="1">
        <w:r w:rsidR="00AB45BD" w:rsidRPr="007877D9">
          <w:rPr>
            <w:rStyle w:val="Hyperlink"/>
            <w:noProof/>
          </w:rPr>
          <w:t>Postoperative Pain</w:t>
        </w:r>
        <w:r w:rsidR="00AB45BD">
          <w:rPr>
            <w:noProof/>
            <w:webHidden/>
          </w:rPr>
          <w:tab/>
        </w:r>
        <w:r w:rsidR="00AB45BD">
          <w:rPr>
            <w:noProof/>
            <w:webHidden/>
          </w:rPr>
          <w:fldChar w:fldCharType="begin"/>
        </w:r>
        <w:r w:rsidR="00AB45BD">
          <w:rPr>
            <w:noProof/>
            <w:webHidden/>
          </w:rPr>
          <w:instrText xml:space="preserve"> PAGEREF _Toc4283057 \h </w:instrText>
        </w:r>
        <w:r w:rsidR="00AB45BD">
          <w:rPr>
            <w:noProof/>
            <w:webHidden/>
          </w:rPr>
        </w:r>
        <w:r w:rsidR="00AB45BD">
          <w:rPr>
            <w:noProof/>
            <w:webHidden/>
          </w:rPr>
          <w:fldChar w:fldCharType="separate"/>
        </w:r>
        <w:r>
          <w:rPr>
            <w:noProof/>
            <w:webHidden/>
          </w:rPr>
          <w:t>4</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58" w:history="1">
        <w:r w:rsidR="00AB45BD" w:rsidRPr="007877D9">
          <w:rPr>
            <w:rStyle w:val="Hyperlink"/>
            <w:noProof/>
          </w:rPr>
          <w:t>DVT prophylaxis</w:t>
        </w:r>
        <w:r w:rsidR="00AB45BD">
          <w:rPr>
            <w:noProof/>
            <w:webHidden/>
          </w:rPr>
          <w:tab/>
        </w:r>
        <w:r w:rsidR="00AB45BD">
          <w:rPr>
            <w:noProof/>
            <w:webHidden/>
          </w:rPr>
          <w:fldChar w:fldCharType="begin"/>
        </w:r>
        <w:r w:rsidR="00AB45BD">
          <w:rPr>
            <w:noProof/>
            <w:webHidden/>
          </w:rPr>
          <w:instrText xml:space="preserve"> PAGEREF _Toc4283058 \h </w:instrText>
        </w:r>
        <w:r w:rsidR="00AB45BD">
          <w:rPr>
            <w:noProof/>
            <w:webHidden/>
          </w:rPr>
        </w:r>
        <w:r w:rsidR="00AB45BD">
          <w:rPr>
            <w:noProof/>
            <w:webHidden/>
          </w:rPr>
          <w:fldChar w:fldCharType="separate"/>
        </w:r>
        <w:r>
          <w:rPr>
            <w:noProof/>
            <w:webHidden/>
          </w:rPr>
          <w:t>4</w:t>
        </w:r>
        <w:r w:rsidR="00AB45BD">
          <w:rPr>
            <w:noProof/>
            <w:webHidden/>
          </w:rPr>
          <w:fldChar w:fldCharType="end"/>
        </w:r>
      </w:hyperlink>
    </w:p>
    <w:p w:rsidR="00AB45BD" w:rsidRDefault="00B61CF0">
      <w:pPr>
        <w:pStyle w:val="TOC1"/>
        <w:rPr>
          <w:rFonts w:asciiTheme="minorHAnsi" w:eastAsiaTheme="minorEastAsia" w:hAnsiTheme="minorHAnsi" w:cstheme="minorBidi"/>
          <w:b w:val="0"/>
          <w:smallCaps w:val="0"/>
          <w:noProof/>
          <w:sz w:val="22"/>
          <w:szCs w:val="22"/>
          <w:lang w:val="en-US"/>
        </w:rPr>
      </w:pPr>
      <w:hyperlink w:anchor="_Toc4283059" w:history="1">
        <w:r w:rsidR="00AB45BD" w:rsidRPr="007877D9">
          <w:rPr>
            <w:rStyle w:val="Hyperlink"/>
            <w:noProof/>
          </w:rPr>
          <w:t>Infection Prophylaxis</w:t>
        </w:r>
        <w:r w:rsidR="00AB45BD">
          <w:rPr>
            <w:noProof/>
            <w:webHidden/>
          </w:rPr>
          <w:tab/>
        </w:r>
        <w:r w:rsidR="00AB45BD">
          <w:rPr>
            <w:noProof/>
            <w:webHidden/>
          </w:rPr>
          <w:fldChar w:fldCharType="begin"/>
        </w:r>
        <w:r w:rsidR="00AB45BD">
          <w:rPr>
            <w:noProof/>
            <w:webHidden/>
          </w:rPr>
          <w:instrText xml:space="preserve"> PAGEREF _Toc4283059 \h </w:instrText>
        </w:r>
        <w:r w:rsidR="00AB45BD">
          <w:rPr>
            <w:noProof/>
            <w:webHidden/>
          </w:rPr>
        </w:r>
        <w:r w:rsidR="00AB45BD">
          <w:rPr>
            <w:noProof/>
            <w:webHidden/>
          </w:rPr>
          <w:fldChar w:fldCharType="separate"/>
        </w:r>
        <w:r>
          <w:rPr>
            <w:noProof/>
            <w:webHidden/>
          </w:rPr>
          <w:t>4</w:t>
        </w:r>
        <w:r w:rsidR="00AB45BD">
          <w:rPr>
            <w:noProof/>
            <w:webHidden/>
          </w:rPr>
          <w:fldChar w:fldCharType="end"/>
        </w:r>
      </w:hyperlink>
    </w:p>
    <w:p w:rsidR="00442EDA" w:rsidRDefault="00BF0BB6" w:rsidP="00442EDA">
      <w:r>
        <w:fldChar w:fldCharType="end"/>
      </w:r>
      <w:r w:rsidR="006D4DA8" w:rsidRPr="006D4DA8">
        <w:rPr>
          <w:b/>
          <w:smallCaps/>
        </w:rPr>
        <w:t>ICP control</w:t>
      </w:r>
      <w:r w:rsidR="006D4DA8">
        <w:t xml:space="preserve"> – see </w:t>
      </w:r>
      <w:hyperlink r:id="rId7" w:anchor="Treatment" w:history="1">
        <w:r w:rsidR="006D4DA8" w:rsidRPr="006D4DA8">
          <w:rPr>
            <w:rStyle w:val="Hyperlink"/>
          </w:rPr>
          <w:t>p. S50 &gt;&gt;</w:t>
        </w:r>
      </w:hyperlink>
    </w:p>
    <w:p w:rsidR="00E06983" w:rsidRDefault="00E06983" w:rsidP="00442EDA"/>
    <w:p w:rsidR="006D4DA8" w:rsidRDefault="006D4DA8" w:rsidP="00442EDA"/>
    <w:p w:rsidR="008B52EB" w:rsidRDefault="008B52EB" w:rsidP="008B52EB">
      <w:pPr>
        <w:pStyle w:val="Antrat"/>
      </w:pPr>
      <w:bookmarkStart w:id="1" w:name="_Toc4283042"/>
      <w:r>
        <w:t>Morbidity, Mortality</w:t>
      </w:r>
      <w:bookmarkEnd w:id="1"/>
    </w:p>
    <w:p w:rsidR="00F11012" w:rsidRPr="000D4289" w:rsidRDefault="00F11012" w:rsidP="00F11012">
      <w:pPr>
        <w:spacing w:after="120"/>
        <w:rPr>
          <w:szCs w:val="24"/>
        </w:rPr>
      </w:pPr>
      <w:r w:rsidRPr="00F11012">
        <w:rPr>
          <w:rStyle w:val="Eponym"/>
        </w:rPr>
        <w:t>Clavien-Dindo classification</w:t>
      </w:r>
      <w:r w:rsidRPr="00654BDE">
        <w:rPr>
          <w:szCs w:val="24"/>
        </w:rPr>
        <w:t xml:space="preserve"> </w:t>
      </w:r>
      <w:r>
        <w:rPr>
          <w:szCs w:val="24"/>
        </w:rPr>
        <w:t>(</w:t>
      </w:r>
      <w:r w:rsidRPr="00654BDE">
        <w:rPr>
          <w:szCs w:val="24"/>
        </w:rPr>
        <w:t>validated for neurosurgery patients</w:t>
      </w:r>
      <w:r>
        <w:rPr>
          <w:szCs w:val="24"/>
        </w:rPr>
        <w:t>):</w:t>
      </w:r>
    </w:p>
    <w:p w:rsidR="00F11012" w:rsidRDefault="00F11012" w:rsidP="00F11012">
      <w:r>
        <w:rPr>
          <w:noProof/>
        </w:rPr>
        <w:drawing>
          <wp:inline distT="0" distB="0" distL="0" distR="0" wp14:anchorId="64CCA183" wp14:editId="195D1055">
            <wp:extent cx="4435200" cy="3254400"/>
            <wp:effectExtent l="0" t="0" r="3810" b="3175"/>
            <wp:docPr id="195" name="Picture 195" descr="Society for Pediatric Urology - Assessment of the Unplanned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ety for Pediatric Urology - Assessment of the Unplanned Pos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5200" cy="3254400"/>
                    </a:xfrm>
                    <a:prstGeom prst="rect">
                      <a:avLst/>
                    </a:prstGeom>
                    <a:noFill/>
                    <a:ln>
                      <a:noFill/>
                    </a:ln>
                  </pic:spPr>
                </pic:pic>
              </a:graphicData>
            </a:graphic>
          </wp:inline>
        </w:drawing>
      </w:r>
    </w:p>
    <w:p w:rsidR="00F11012" w:rsidRDefault="00F11012" w:rsidP="00F11012"/>
    <w:p w:rsidR="00F11012" w:rsidRDefault="00F11012" w:rsidP="00442EDA"/>
    <w:p w:rsidR="008B52EB" w:rsidRDefault="00EA585C" w:rsidP="00442EDA">
      <w:r>
        <w:t>Within 30 days:</w:t>
      </w:r>
    </w:p>
    <w:p w:rsidR="00EA585C" w:rsidRDefault="00EA585C" w:rsidP="00442EDA">
      <w:r>
        <w:rPr>
          <w:noProof/>
        </w:rPr>
        <w:drawing>
          <wp:inline distT="0" distB="0" distL="0" distR="0" wp14:anchorId="2EFDD708" wp14:editId="0D9AA1EE">
            <wp:extent cx="6300470" cy="2905760"/>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0470" cy="2905760"/>
                    </a:xfrm>
                    <a:prstGeom prst="rect">
                      <a:avLst/>
                    </a:prstGeom>
                  </pic:spPr>
                </pic:pic>
              </a:graphicData>
            </a:graphic>
          </wp:inline>
        </w:drawing>
      </w:r>
    </w:p>
    <w:p w:rsidR="00EA585C" w:rsidRDefault="00EA585C" w:rsidP="00EA585C">
      <w:pPr>
        <w:pStyle w:val="Articlename"/>
      </w:pPr>
      <w:r>
        <w:t xml:space="preserve">Macki M et al. </w:t>
      </w:r>
      <w:r w:rsidRPr="00794564">
        <w:t>The Impact of Different Postgraduate Year Training</w:t>
      </w:r>
      <w:r>
        <w:t xml:space="preserve"> </w:t>
      </w:r>
      <w:r w:rsidRPr="00794564">
        <w:t>in Neurosurgery Residency on 30-Day Postoperative</w:t>
      </w:r>
      <w:r>
        <w:t xml:space="preserve"> </w:t>
      </w:r>
      <w:r w:rsidRPr="00794564">
        <w:t>Outcomes. Neurosurgery 84:778–787, 2019 DOI:10.1093/neuros/nyy277</w:t>
      </w:r>
    </w:p>
    <w:p w:rsidR="00EA585C" w:rsidRDefault="00EA585C" w:rsidP="00442EDA"/>
    <w:p w:rsidR="00EA585C" w:rsidRDefault="00EA585C" w:rsidP="00442EDA"/>
    <w:p w:rsidR="008B52EB" w:rsidRDefault="008B52EB" w:rsidP="00442EDA">
      <w:r>
        <w:t>Wound disruption (within 30 days):</w:t>
      </w:r>
    </w:p>
    <w:p w:rsidR="008B52EB" w:rsidRDefault="008B52EB" w:rsidP="00442EDA">
      <w:r>
        <w:rPr>
          <w:noProof/>
        </w:rPr>
        <w:drawing>
          <wp:inline distT="0" distB="0" distL="0" distR="0" wp14:anchorId="044B0E2E" wp14:editId="3ECF599E">
            <wp:extent cx="2811600" cy="4392000"/>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1600" cy="4392000"/>
                    </a:xfrm>
                    <a:prstGeom prst="rect">
                      <a:avLst/>
                    </a:prstGeom>
                  </pic:spPr>
                </pic:pic>
              </a:graphicData>
            </a:graphic>
          </wp:inline>
        </w:drawing>
      </w:r>
    </w:p>
    <w:p w:rsidR="00794564" w:rsidRDefault="00794564" w:rsidP="00794564">
      <w:pPr>
        <w:pStyle w:val="Articlename"/>
      </w:pPr>
      <w:r>
        <w:t xml:space="preserve">Macki M et al. </w:t>
      </w:r>
      <w:r w:rsidRPr="00794564">
        <w:t>The Impact of Different Postgraduate Year Training</w:t>
      </w:r>
      <w:r>
        <w:t xml:space="preserve"> </w:t>
      </w:r>
      <w:r w:rsidRPr="00794564">
        <w:t>in Neurosurgery Residency on 30-Day Postoperative</w:t>
      </w:r>
      <w:r>
        <w:t xml:space="preserve"> </w:t>
      </w:r>
      <w:r w:rsidRPr="00794564">
        <w:t>Outcomes. Neurosurgery 84:778–787, 2019 DOI:10.1093/neuros/nyy277</w:t>
      </w:r>
    </w:p>
    <w:p w:rsidR="00794564" w:rsidRDefault="00794564" w:rsidP="00442EDA"/>
    <w:p w:rsidR="008B52EB" w:rsidRDefault="008B52EB" w:rsidP="00442EDA"/>
    <w:p w:rsidR="00850033" w:rsidRDefault="00850033" w:rsidP="00442EDA">
      <w:r w:rsidRPr="00850033">
        <w:t>Clavien-Dindo Grade IV</w:t>
      </w:r>
      <w:r w:rsidR="00794564">
        <w:t>*</w:t>
      </w:r>
      <w:r w:rsidRPr="00850033">
        <w:t xml:space="preserve"> </w:t>
      </w:r>
      <w:r w:rsidR="00794564">
        <w:t>c</w:t>
      </w:r>
      <w:r w:rsidRPr="00850033">
        <w:t xml:space="preserve">omplication </w:t>
      </w:r>
      <w:r>
        <w:t>(within 30 days):</w:t>
      </w:r>
    </w:p>
    <w:p w:rsidR="00850033" w:rsidRDefault="00794564" w:rsidP="00794564">
      <w:pPr>
        <w:jc w:val="right"/>
      </w:pPr>
      <w:r>
        <w:t>*</w:t>
      </w:r>
      <w:r w:rsidR="00850033">
        <w:t>end-organ dysfunction,</w:t>
      </w:r>
      <w:r>
        <w:t xml:space="preserve"> </w:t>
      </w:r>
      <w:r w:rsidR="00850033">
        <w:t>necessitating intermediate or intensive care unit management</w:t>
      </w:r>
    </w:p>
    <w:p w:rsidR="008B52EB" w:rsidRDefault="008B52EB" w:rsidP="00442EDA">
      <w:r>
        <w:rPr>
          <w:noProof/>
        </w:rPr>
        <w:lastRenderedPageBreak/>
        <w:drawing>
          <wp:inline distT="0" distB="0" distL="0" distR="0" wp14:anchorId="64D48EBA" wp14:editId="5F609654">
            <wp:extent cx="2764800" cy="437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4800" cy="4370400"/>
                    </a:xfrm>
                    <a:prstGeom prst="rect">
                      <a:avLst/>
                    </a:prstGeom>
                  </pic:spPr>
                </pic:pic>
              </a:graphicData>
            </a:graphic>
          </wp:inline>
        </w:drawing>
      </w:r>
    </w:p>
    <w:p w:rsidR="00794564" w:rsidRDefault="00794564" w:rsidP="00794564">
      <w:pPr>
        <w:pStyle w:val="Articlename"/>
      </w:pPr>
      <w:r>
        <w:t xml:space="preserve">Macki M et al. </w:t>
      </w:r>
      <w:r w:rsidRPr="00794564">
        <w:t>The Impact of Different Postgraduate Year Training</w:t>
      </w:r>
      <w:r>
        <w:t xml:space="preserve"> </w:t>
      </w:r>
      <w:r w:rsidRPr="00794564">
        <w:t>in Neurosurgery Residency on 30-Day Postoperative</w:t>
      </w:r>
      <w:r>
        <w:t xml:space="preserve"> </w:t>
      </w:r>
      <w:r w:rsidRPr="00794564">
        <w:t>Outcomes. Neurosurgery 84:778–787, 2019 DOI:10.1093/neuros/nyy277</w:t>
      </w:r>
    </w:p>
    <w:p w:rsidR="00794564" w:rsidRDefault="00794564" w:rsidP="00442EDA"/>
    <w:p w:rsidR="00794564" w:rsidRDefault="00794564" w:rsidP="00442EDA"/>
    <w:p w:rsidR="00794564" w:rsidRDefault="00794564" w:rsidP="00442EDA">
      <w:r>
        <w:t>Death (within 30 days):</w:t>
      </w:r>
    </w:p>
    <w:p w:rsidR="00794564" w:rsidRDefault="00794564" w:rsidP="00442EDA">
      <w:r>
        <w:rPr>
          <w:noProof/>
        </w:rPr>
        <w:drawing>
          <wp:inline distT="0" distB="0" distL="0" distR="0" wp14:anchorId="11DA2F0F" wp14:editId="21FF7190">
            <wp:extent cx="2761200" cy="42552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1200" cy="4255200"/>
                    </a:xfrm>
                    <a:prstGeom prst="rect">
                      <a:avLst/>
                    </a:prstGeom>
                  </pic:spPr>
                </pic:pic>
              </a:graphicData>
            </a:graphic>
          </wp:inline>
        </w:drawing>
      </w:r>
    </w:p>
    <w:p w:rsidR="00794564" w:rsidRDefault="00794564" w:rsidP="00794564">
      <w:pPr>
        <w:pStyle w:val="Articlename"/>
      </w:pPr>
      <w:r>
        <w:t xml:space="preserve">Macki M et al. </w:t>
      </w:r>
      <w:r w:rsidRPr="00794564">
        <w:t>The Impact of Different Postgraduate Year Training</w:t>
      </w:r>
      <w:r>
        <w:t xml:space="preserve"> </w:t>
      </w:r>
      <w:r w:rsidRPr="00794564">
        <w:t>in Neurosurgery Residency on 30-Day Postoperative</w:t>
      </w:r>
      <w:r>
        <w:t xml:space="preserve"> </w:t>
      </w:r>
      <w:r w:rsidRPr="00794564">
        <w:t>Outcomes. Neurosurgery 84:778–787, 2019 DOI:10.1093/neuros/nyy277</w:t>
      </w:r>
    </w:p>
    <w:p w:rsidR="00794564" w:rsidRDefault="00794564" w:rsidP="00442EDA"/>
    <w:p w:rsidR="008B52EB" w:rsidRDefault="008B52EB" w:rsidP="00442EDA"/>
    <w:p w:rsidR="008B52EB" w:rsidRDefault="008B52EB" w:rsidP="00442EDA"/>
    <w:p w:rsidR="006D4DA8" w:rsidRPr="006D4DA8" w:rsidRDefault="006D4DA8" w:rsidP="006D4DA8">
      <w:pPr>
        <w:pStyle w:val="Antrat"/>
      </w:pPr>
      <w:bookmarkStart w:id="2" w:name="_Toc4283043"/>
      <w:r w:rsidRPr="006D4DA8">
        <w:t>Imaging</w:t>
      </w:r>
      <w:bookmarkEnd w:id="2"/>
    </w:p>
    <w:p w:rsidR="006D4DA8" w:rsidRPr="00271C9D" w:rsidRDefault="006D4DA8" w:rsidP="00271C9D">
      <w:pPr>
        <w:pStyle w:val="Default"/>
        <w:numPr>
          <w:ilvl w:val="0"/>
          <w:numId w:val="5"/>
        </w:numPr>
        <w:rPr>
          <w:rFonts w:ascii="Times New Roman" w:hAnsi="Times New Roman" w:cs="Times New Roman"/>
          <w:color w:val="auto"/>
        </w:rPr>
      </w:pPr>
      <w:r w:rsidRPr="00271C9D">
        <w:rPr>
          <w:rFonts w:ascii="Times New Roman" w:hAnsi="Times New Roman" w:cs="Times New Roman"/>
          <w:color w:val="auto"/>
        </w:rPr>
        <w:t>repeat head CT if neurological status changes.</w:t>
      </w:r>
    </w:p>
    <w:p w:rsidR="006D4DA8" w:rsidRPr="00271C9D" w:rsidRDefault="006D4DA8" w:rsidP="00271C9D">
      <w:pPr>
        <w:pStyle w:val="Default"/>
        <w:numPr>
          <w:ilvl w:val="0"/>
          <w:numId w:val="5"/>
        </w:numPr>
        <w:rPr>
          <w:rFonts w:ascii="Times New Roman" w:hAnsi="Times New Roman" w:cs="Times New Roman"/>
          <w:color w:val="auto"/>
        </w:rPr>
      </w:pPr>
      <w:r w:rsidRPr="00271C9D">
        <w:rPr>
          <w:rFonts w:ascii="Times New Roman" w:hAnsi="Times New Roman" w:cs="Times New Roman"/>
          <w:color w:val="auto"/>
        </w:rPr>
        <w:t>routinely repeat plain head CT after 6 hours (or earlier if neuro status changes) for TBI with hemorrhage</w:t>
      </w:r>
      <w:r w:rsidR="00271C9D" w:rsidRPr="00271C9D">
        <w:rPr>
          <w:rFonts w:ascii="Times New Roman" w:hAnsi="Times New Roman" w:cs="Times New Roman"/>
          <w:color w:val="auto"/>
        </w:rPr>
        <w:t xml:space="preserve"> in observation</w:t>
      </w:r>
      <w:r w:rsidRPr="00271C9D">
        <w:rPr>
          <w:rFonts w:ascii="Times New Roman" w:hAnsi="Times New Roman" w:cs="Times New Roman"/>
          <w:color w:val="auto"/>
        </w:rPr>
        <w:t>; some prefer to document stable CT 24 hours apart.</w:t>
      </w:r>
    </w:p>
    <w:p w:rsidR="006D4DA8" w:rsidRDefault="006D4DA8" w:rsidP="00442EDA"/>
    <w:p w:rsidR="00630DC1" w:rsidRDefault="00630DC1" w:rsidP="00442EDA"/>
    <w:p w:rsidR="006A2649" w:rsidRDefault="006A2649" w:rsidP="006A2649">
      <w:pPr>
        <w:pStyle w:val="Antrat"/>
      </w:pPr>
      <w:bookmarkStart w:id="3" w:name="_Toc4283044"/>
      <w:r>
        <w:t>Anticoagulants / Reversal</w:t>
      </w:r>
      <w:bookmarkEnd w:id="3"/>
    </w:p>
    <w:p w:rsidR="006A2649" w:rsidRDefault="006A2649" w:rsidP="006A2649">
      <w:r>
        <w:t xml:space="preserve">Doses and reversal strategies – see </w:t>
      </w:r>
      <w:hyperlink r:id="rId13" w:anchor="ANTICOAGULANTS_and_REVERSAL" w:history="1">
        <w:r w:rsidRPr="00A83C59">
          <w:rPr>
            <w:rStyle w:val="Hyperlink"/>
          </w:rPr>
          <w:t>p. Rx0 &gt;&gt;</w:t>
        </w:r>
      </w:hyperlink>
    </w:p>
    <w:p w:rsidR="006A2649" w:rsidRDefault="006A2649" w:rsidP="00442EDA"/>
    <w:p w:rsidR="006A2649" w:rsidRDefault="006A2649" w:rsidP="00442EDA"/>
    <w:p w:rsidR="00630DC1" w:rsidRDefault="00630DC1" w:rsidP="00630DC1">
      <w:pPr>
        <w:pStyle w:val="Antrat"/>
      </w:pPr>
      <w:bookmarkStart w:id="4" w:name="_Toc499854918"/>
      <w:bookmarkStart w:id="5" w:name="_Toc4283045"/>
      <w:bookmarkStart w:id="6" w:name="Antiplatelets"/>
      <w:r>
        <w:t>Antiaggregants / Reversal</w:t>
      </w:r>
      <w:bookmarkEnd w:id="4"/>
      <w:bookmarkEnd w:id="5"/>
    </w:p>
    <w:bookmarkEnd w:id="6"/>
    <w:p w:rsidR="00630DC1" w:rsidRDefault="00630DC1" w:rsidP="00442EDA">
      <w:r>
        <w:t xml:space="preserve">Doses </w:t>
      </w:r>
      <w:r w:rsidR="006A2649">
        <w:t xml:space="preserve">and reversal strategies </w:t>
      </w:r>
      <w:r w:rsidR="00A83C59">
        <w:t>–</w:t>
      </w:r>
      <w:r>
        <w:t xml:space="preserve"> </w:t>
      </w:r>
      <w:r w:rsidR="00A83C59">
        <w:t xml:space="preserve">see </w:t>
      </w:r>
      <w:hyperlink r:id="rId14" w:anchor="ANTIAGGREGANTS_and_REVERSAL" w:history="1">
        <w:r w:rsidR="00A83C59" w:rsidRPr="00A83C59">
          <w:rPr>
            <w:rStyle w:val="Hyperlink"/>
          </w:rPr>
          <w:t>p. Rx0 &gt;&gt;</w:t>
        </w:r>
      </w:hyperlink>
    </w:p>
    <w:p w:rsidR="00A83C59" w:rsidRDefault="00A83C59" w:rsidP="00A83C59">
      <w:bookmarkStart w:id="7" w:name="_Toc312444961"/>
    </w:p>
    <w:p w:rsidR="003E7F1A" w:rsidRPr="003E7F1A" w:rsidRDefault="003E7F1A" w:rsidP="00A83C59">
      <w:pPr>
        <w:rPr>
          <w:u w:val="single"/>
        </w:rPr>
      </w:pPr>
      <w:r w:rsidRPr="003E7F1A">
        <w:rPr>
          <w:u w:val="single"/>
        </w:rPr>
        <w:t>Platelet function testing</w:t>
      </w:r>
    </w:p>
    <w:p w:rsidR="003E7F1A" w:rsidRDefault="003E7F1A" w:rsidP="003E7F1A">
      <w:pPr>
        <w:pStyle w:val="Normal0"/>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0"/>
          <w:szCs w:val="20"/>
          <w:shd w:val="clear" w:color="auto" w:fill="FFFFFF"/>
        </w:rPr>
      </w:pPr>
      <w:r w:rsidRPr="003E7F1A">
        <w:rPr>
          <w:rStyle w:val="Drugname2Char"/>
        </w:rPr>
        <w:t>Plavix</w:t>
      </w:r>
      <w:r w:rsidRPr="003E7F1A">
        <w:rPr>
          <w:sz w:val="20"/>
          <w:szCs w:val="20"/>
          <w:shd w:val="clear" w:color="auto" w:fill="FFFFFF"/>
        </w:rPr>
        <w:t>:</w:t>
      </w:r>
      <w:r>
        <w:rPr>
          <w:b/>
          <w:sz w:val="20"/>
          <w:szCs w:val="20"/>
          <w:shd w:val="clear" w:color="auto" w:fill="FFFFFF"/>
        </w:rPr>
        <w:t xml:space="preserve"> </w:t>
      </w:r>
      <w:r w:rsidRPr="00614A32">
        <w:rPr>
          <w:b/>
          <w:sz w:val="20"/>
          <w:szCs w:val="20"/>
          <w:shd w:val="clear" w:color="auto" w:fill="FFFFFF"/>
        </w:rPr>
        <w:t>VerifyNow</w:t>
      </w:r>
      <w:r w:rsidRPr="00614A32">
        <w:rPr>
          <w:sz w:val="20"/>
          <w:szCs w:val="20"/>
          <w:shd w:val="clear" w:color="auto" w:fill="FFFFFF"/>
        </w:rPr>
        <w:t xml:space="preserve"> </w:t>
      </w:r>
      <w:r w:rsidRPr="00614A32">
        <w:rPr>
          <w:b/>
          <w:sz w:val="20"/>
          <w:szCs w:val="20"/>
          <w:shd w:val="clear" w:color="auto" w:fill="FFFFFF"/>
        </w:rPr>
        <w:t>P2Y12</w:t>
      </w:r>
      <w:r w:rsidRPr="00614A32">
        <w:rPr>
          <w:sz w:val="20"/>
          <w:szCs w:val="20"/>
          <w:shd w:val="clear" w:color="auto" w:fill="FFFFFF"/>
        </w:rPr>
        <w:t xml:space="preserve"> (if result &lt; </w:t>
      </w:r>
      <w:r>
        <w:rPr>
          <w:sz w:val="20"/>
          <w:szCs w:val="20"/>
          <w:shd w:val="clear" w:color="auto" w:fill="FFFFFF"/>
        </w:rPr>
        <w:t>4</w:t>
      </w:r>
      <w:r w:rsidRPr="00614A32">
        <w:rPr>
          <w:sz w:val="20"/>
          <w:szCs w:val="20"/>
          <w:shd w:val="clear" w:color="auto" w:fill="FFFFFF"/>
        </w:rPr>
        <w:t xml:space="preserve">0% </w:t>
      </w:r>
      <w:r>
        <w:rPr>
          <w:sz w:val="20"/>
          <w:szCs w:val="20"/>
          <w:shd w:val="clear" w:color="auto" w:fill="FFFFFF"/>
        </w:rPr>
        <w:t>or &gt; 194 –</w:t>
      </w:r>
      <w:r w:rsidRPr="00614A32">
        <w:rPr>
          <w:sz w:val="20"/>
          <w:szCs w:val="20"/>
          <w:shd w:val="clear" w:color="auto" w:fill="FFFFFF"/>
        </w:rPr>
        <w:t xml:space="preserve"> </w:t>
      </w:r>
      <w:r>
        <w:rPr>
          <w:sz w:val="20"/>
          <w:szCs w:val="20"/>
          <w:shd w:val="clear" w:color="auto" w:fill="FFFFFF"/>
        </w:rPr>
        <w:t xml:space="preserve">no platelet inhibition; </w:t>
      </w:r>
      <w:r w:rsidRPr="00614A32">
        <w:rPr>
          <w:sz w:val="20"/>
          <w:szCs w:val="20"/>
          <w:shd w:val="clear" w:color="auto" w:fill="FFFFFF"/>
        </w:rPr>
        <w:t xml:space="preserve">patient </w:t>
      </w:r>
      <w:r>
        <w:rPr>
          <w:sz w:val="20"/>
          <w:szCs w:val="20"/>
          <w:shd w:val="clear" w:color="auto" w:fill="FFFFFF"/>
        </w:rPr>
        <w:t>maybe</w:t>
      </w:r>
      <w:r w:rsidRPr="00614A32">
        <w:rPr>
          <w:sz w:val="20"/>
          <w:szCs w:val="20"/>
          <w:shd w:val="clear" w:color="auto" w:fill="FFFFFF"/>
        </w:rPr>
        <w:t xml:space="preserve"> nonresponding to Plavix</w:t>
      </w:r>
      <w:r>
        <w:rPr>
          <w:sz w:val="20"/>
          <w:szCs w:val="20"/>
          <w:shd w:val="clear" w:color="auto" w:fill="FFFFFF"/>
        </w:rPr>
        <w:t xml:space="preserve"> → reload with 300-600 mg of Plavix</w:t>
      </w:r>
      <w:r w:rsidRPr="00614A32">
        <w:rPr>
          <w:sz w:val="20"/>
          <w:szCs w:val="20"/>
          <w:shd w:val="clear" w:color="auto" w:fill="FFFFFF"/>
        </w:rPr>
        <w:t>)</w:t>
      </w:r>
    </w:p>
    <w:p w:rsidR="003E7F1A" w:rsidRDefault="003E7F1A" w:rsidP="003E7F1A">
      <w:pPr>
        <w:pStyle w:val="Normal0"/>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2222"/>
          <w:sz w:val="21"/>
          <w:szCs w:val="21"/>
        </w:rPr>
      </w:pPr>
      <w:r w:rsidRPr="003E7F1A">
        <w:rPr>
          <w:rStyle w:val="Drugname2Char"/>
        </w:rPr>
        <w:t>Aspirin</w:t>
      </w:r>
      <w:r>
        <w:rPr>
          <w:color w:val="222222"/>
          <w:sz w:val="21"/>
          <w:szCs w:val="21"/>
        </w:rPr>
        <w:t>:</w:t>
      </w:r>
    </w:p>
    <w:p w:rsidR="003E7F1A" w:rsidRPr="003E7F1A" w:rsidRDefault="003E7F1A" w:rsidP="003E7F1A">
      <w:pPr>
        <w:pStyle w:val="Normal0"/>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color w:val="222222"/>
          <w:sz w:val="21"/>
          <w:szCs w:val="21"/>
        </w:rPr>
      </w:pPr>
      <w:r w:rsidRPr="00614A32">
        <w:rPr>
          <w:b/>
          <w:sz w:val="20"/>
          <w:szCs w:val="20"/>
          <w:shd w:val="clear" w:color="auto" w:fill="FFFFFF"/>
        </w:rPr>
        <w:t>VerifyNow Aspirin Test</w:t>
      </w:r>
      <w:r w:rsidRPr="00614A32">
        <w:rPr>
          <w:sz w:val="20"/>
          <w:szCs w:val="20"/>
          <w:shd w:val="clear" w:color="auto" w:fill="FFFFFF"/>
        </w:rPr>
        <w:t xml:space="preserve"> (result &lt; 550 Aspirin Reaction Units = platelet disfunction consistent with aspirin)</w:t>
      </w:r>
    </w:p>
    <w:p w:rsidR="006C5630" w:rsidRDefault="003E7F1A" w:rsidP="003E7F1A">
      <w:pPr>
        <w:pStyle w:val="ListParagraph"/>
        <w:numPr>
          <w:ilvl w:val="0"/>
          <w:numId w:val="26"/>
        </w:numPr>
        <w:shd w:val="clear" w:color="auto" w:fill="FFFFFF"/>
        <w:spacing w:before="120" w:after="120"/>
        <w:rPr>
          <w:rFonts w:ascii="Arial" w:hAnsi="Arial" w:cs="Arial"/>
          <w:color w:val="222222"/>
          <w:sz w:val="21"/>
          <w:szCs w:val="21"/>
        </w:rPr>
      </w:pPr>
      <w:r w:rsidRPr="003E7F1A">
        <w:rPr>
          <w:rFonts w:ascii="Arial" w:hAnsi="Arial" w:cs="Arial"/>
          <w:color w:val="222222"/>
          <w:sz w:val="21"/>
          <w:szCs w:val="21"/>
        </w:rPr>
        <w:t>PFA</w:t>
      </w:r>
      <w:r>
        <w:rPr>
          <w:rFonts w:ascii="Arial" w:hAnsi="Arial" w:cs="Arial"/>
          <w:color w:val="222222"/>
          <w:sz w:val="21"/>
          <w:szCs w:val="21"/>
        </w:rPr>
        <w:t>-100</w:t>
      </w:r>
      <w:r w:rsidRPr="003E7F1A">
        <w:rPr>
          <w:rFonts w:ascii="Arial" w:hAnsi="Arial" w:cs="Arial"/>
          <w:color w:val="222222"/>
          <w:sz w:val="21"/>
          <w:szCs w:val="21"/>
        </w:rPr>
        <w:t xml:space="preserve"> test </w:t>
      </w:r>
      <w:r>
        <w:rPr>
          <w:rFonts w:ascii="Arial" w:hAnsi="Arial" w:cs="Arial"/>
          <w:color w:val="222222"/>
          <w:sz w:val="21"/>
          <w:szCs w:val="21"/>
        </w:rPr>
        <w:t>-</w:t>
      </w:r>
      <w:r w:rsidRPr="003E7F1A">
        <w:rPr>
          <w:rFonts w:ascii="Arial" w:hAnsi="Arial" w:cs="Arial"/>
          <w:color w:val="222222"/>
          <w:sz w:val="21"/>
          <w:szCs w:val="21"/>
        </w:rPr>
        <w:t xml:space="preserve"> performed with the Co</w:t>
      </w:r>
      <w:r w:rsidR="006C5630">
        <w:rPr>
          <w:rFonts w:ascii="Arial" w:hAnsi="Arial" w:cs="Arial"/>
          <w:color w:val="222222"/>
          <w:sz w:val="21"/>
          <w:szCs w:val="21"/>
        </w:rPr>
        <w:t xml:space="preserve">llagen/Epinephrine membrane; </w:t>
      </w:r>
      <w:r w:rsidRPr="003E7F1A">
        <w:rPr>
          <w:rFonts w:ascii="Arial" w:hAnsi="Arial" w:cs="Arial"/>
          <w:color w:val="222222"/>
          <w:sz w:val="21"/>
          <w:szCs w:val="21"/>
        </w:rPr>
        <w:t>normal Col/Epi closure time (&lt;</w:t>
      </w:r>
      <w:r w:rsidR="006C5630">
        <w:rPr>
          <w:rFonts w:ascii="Arial" w:hAnsi="Arial" w:cs="Arial"/>
          <w:color w:val="222222"/>
          <w:sz w:val="21"/>
          <w:szCs w:val="21"/>
        </w:rPr>
        <w:t xml:space="preserve"> 188</w:t>
      </w:r>
      <w:r w:rsidRPr="003E7F1A">
        <w:rPr>
          <w:rFonts w:ascii="Arial" w:hAnsi="Arial" w:cs="Arial"/>
          <w:color w:val="222222"/>
          <w:sz w:val="21"/>
          <w:szCs w:val="21"/>
        </w:rPr>
        <w:t xml:space="preserve"> seconds) excludes the presence of a significant platelet function defect. If </w:t>
      </w:r>
      <w:r w:rsidR="006C5630">
        <w:rPr>
          <w:rFonts w:ascii="Arial" w:hAnsi="Arial" w:cs="Arial"/>
          <w:color w:val="222222"/>
          <w:sz w:val="21"/>
          <w:szCs w:val="21"/>
        </w:rPr>
        <w:t>&gt;188 seconds</w:t>
      </w:r>
      <w:r w:rsidRPr="003E7F1A">
        <w:rPr>
          <w:rFonts w:ascii="Arial" w:hAnsi="Arial" w:cs="Arial"/>
          <w:color w:val="222222"/>
          <w:sz w:val="21"/>
          <w:szCs w:val="21"/>
        </w:rPr>
        <w:t xml:space="preserve">, the Col/ADP </w:t>
      </w:r>
      <w:r w:rsidR="008C1301">
        <w:rPr>
          <w:rFonts w:ascii="Arial" w:hAnsi="Arial" w:cs="Arial"/>
          <w:color w:val="222222"/>
          <w:sz w:val="21"/>
          <w:szCs w:val="21"/>
        </w:rPr>
        <w:t>test is automatically performed:</w:t>
      </w:r>
    </w:p>
    <w:p w:rsidR="003E7F1A" w:rsidRPr="006C5630" w:rsidRDefault="006C5630" w:rsidP="006C5630">
      <w:pPr>
        <w:pStyle w:val="Normal0"/>
        <w:numPr>
          <w:ilvl w:val="1"/>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0"/>
          <w:szCs w:val="20"/>
          <w:shd w:val="clear" w:color="auto" w:fill="FFFFFF"/>
        </w:rPr>
      </w:pPr>
      <w:r w:rsidRPr="003E7F1A">
        <w:rPr>
          <w:color w:val="222222"/>
          <w:sz w:val="21"/>
          <w:szCs w:val="21"/>
        </w:rPr>
        <w:t>normal Col/ADP (&lt;</w:t>
      </w:r>
      <w:r>
        <w:rPr>
          <w:color w:val="222222"/>
          <w:sz w:val="21"/>
          <w:szCs w:val="21"/>
        </w:rPr>
        <w:t xml:space="preserve"> </w:t>
      </w:r>
      <w:r w:rsidRPr="003E7F1A">
        <w:rPr>
          <w:color w:val="222222"/>
          <w:sz w:val="21"/>
          <w:szCs w:val="21"/>
        </w:rPr>
        <w:t>1</w:t>
      </w:r>
      <w:r>
        <w:rPr>
          <w:color w:val="222222"/>
          <w:sz w:val="21"/>
          <w:szCs w:val="21"/>
        </w:rPr>
        <w:t xml:space="preserve">08 seconds) = </w:t>
      </w:r>
      <w:r w:rsidRPr="003E7F1A">
        <w:rPr>
          <w:color w:val="222222"/>
          <w:sz w:val="21"/>
          <w:szCs w:val="21"/>
        </w:rPr>
        <w:t>aspirin-induced platelet dysfunc</w:t>
      </w:r>
      <w:r>
        <w:rPr>
          <w:color w:val="222222"/>
          <w:sz w:val="21"/>
          <w:szCs w:val="21"/>
        </w:rPr>
        <w:t>tion</w:t>
      </w:r>
    </w:p>
    <w:p w:rsidR="006C5630" w:rsidRPr="00614A32" w:rsidRDefault="006C5630" w:rsidP="006C5630">
      <w:pPr>
        <w:pStyle w:val="Normal0"/>
        <w:numPr>
          <w:ilvl w:val="1"/>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0"/>
          <w:szCs w:val="20"/>
          <w:shd w:val="clear" w:color="auto" w:fill="FFFFFF"/>
        </w:rPr>
      </w:pPr>
      <w:r>
        <w:rPr>
          <w:color w:val="222222"/>
          <w:sz w:val="21"/>
          <w:szCs w:val="21"/>
        </w:rPr>
        <w:t>prolonged</w:t>
      </w:r>
      <w:r w:rsidRPr="003E7F1A">
        <w:rPr>
          <w:color w:val="222222"/>
          <w:sz w:val="21"/>
          <w:szCs w:val="21"/>
        </w:rPr>
        <w:t xml:space="preserve"> Col/ADP </w:t>
      </w:r>
      <w:r>
        <w:rPr>
          <w:color w:val="222222"/>
          <w:sz w:val="21"/>
          <w:szCs w:val="21"/>
        </w:rPr>
        <w:t xml:space="preserve">(&gt; </w:t>
      </w:r>
      <w:r w:rsidRPr="003E7F1A">
        <w:rPr>
          <w:color w:val="222222"/>
          <w:sz w:val="21"/>
          <w:szCs w:val="21"/>
        </w:rPr>
        <w:t>1</w:t>
      </w:r>
      <w:r>
        <w:rPr>
          <w:color w:val="222222"/>
          <w:sz w:val="21"/>
          <w:szCs w:val="21"/>
        </w:rPr>
        <w:t xml:space="preserve">08 seconds) = </w:t>
      </w:r>
      <w:r w:rsidRPr="003E7F1A">
        <w:rPr>
          <w:color w:val="222222"/>
          <w:sz w:val="21"/>
          <w:szCs w:val="21"/>
        </w:rPr>
        <w:t>hematocrit &lt;</w:t>
      </w:r>
      <w:r>
        <w:rPr>
          <w:color w:val="222222"/>
          <w:sz w:val="21"/>
          <w:szCs w:val="21"/>
        </w:rPr>
        <w:t xml:space="preserve"> </w:t>
      </w:r>
      <w:r w:rsidRPr="003E7F1A">
        <w:rPr>
          <w:color w:val="222222"/>
          <w:sz w:val="21"/>
          <w:szCs w:val="21"/>
        </w:rPr>
        <w:t>0.28</w:t>
      </w:r>
      <w:r>
        <w:rPr>
          <w:color w:val="222222"/>
          <w:sz w:val="21"/>
          <w:szCs w:val="21"/>
        </w:rPr>
        <w:t xml:space="preserve">, </w:t>
      </w:r>
      <w:r w:rsidRPr="003E7F1A">
        <w:rPr>
          <w:color w:val="222222"/>
          <w:sz w:val="21"/>
          <w:szCs w:val="21"/>
        </w:rPr>
        <w:t>platelet count &lt; 100</w:t>
      </w:r>
      <w:r>
        <w:rPr>
          <w:color w:val="222222"/>
          <w:sz w:val="21"/>
          <w:szCs w:val="21"/>
        </w:rPr>
        <w:t xml:space="preserve">, </w:t>
      </w:r>
      <w:r w:rsidRPr="003E7F1A">
        <w:rPr>
          <w:color w:val="222222"/>
          <w:sz w:val="21"/>
          <w:szCs w:val="21"/>
        </w:rPr>
        <w:t>significant platelet function defect</w:t>
      </w:r>
      <w:r>
        <w:rPr>
          <w:color w:val="222222"/>
          <w:sz w:val="21"/>
          <w:szCs w:val="21"/>
        </w:rPr>
        <w:t xml:space="preserve"> (von Willebrand disease, other </w:t>
      </w:r>
      <w:r w:rsidRPr="003E7F1A">
        <w:rPr>
          <w:color w:val="222222"/>
          <w:sz w:val="21"/>
          <w:szCs w:val="21"/>
        </w:rPr>
        <w:t>inherited/acquired platelet dysfunction</w:t>
      </w:r>
      <w:r>
        <w:rPr>
          <w:color w:val="222222"/>
          <w:sz w:val="21"/>
          <w:szCs w:val="21"/>
        </w:rPr>
        <w:t>)</w:t>
      </w:r>
    </w:p>
    <w:p w:rsidR="003E7F1A" w:rsidRDefault="003E7F1A" w:rsidP="00A83C59"/>
    <w:p w:rsidR="003E7F1A" w:rsidRDefault="003E7F1A" w:rsidP="00A83C59"/>
    <w:p w:rsidR="00A83C59" w:rsidRDefault="00A83C59" w:rsidP="00A83C59">
      <w:pPr>
        <w:pStyle w:val="Default"/>
        <w:numPr>
          <w:ilvl w:val="0"/>
          <w:numId w:val="5"/>
        </w:numPr>
        <w:rPr>
          <w:rFonts w:ascii="Times New Roman" w:hAnsi="Times New Roman" w:cs="Times New Roman"/>
          <w:color w:val="auto"/>
        </w:rPr>
      </w:pPr>
      <w:r w:rsidRPr="00761177">
        <w:rPr>
          <w:rStyle w:val="Drugname2Char"/>
          <w:rFonts w:ascii="Times New Roman" w:hAnsi="Times New Roman" w:cs="Times New Roman"/>
          <w:lang w:val="en-US"/>
        </w:rPr>
        <w:t>aspirin</w:t>
      </w:r>
      <w:r>
        <w:rPr>
          <w:rFonts w:ascii="Times New Roman" w:hAnsi="Times New Roman" w:cs="Times New Roman"/>
          <w:color w:val="auto"/>
        </w:rPr>
        <w:t>:</w:t>
      </w:r>
    </w:p>
    <w:p w:rsidR="00A83C59" w:rsidRPr="00691C89" w:rsidRDefault="00A83C59" w:rsidP="00A83C59">
      <w:pPr>
        <w:pStyle w:val="Default"/>
        <w:ind w:left="720"/>
        <w:rPr>
          <w:rFonts w:ascii="Times New Roman" w:hAnsi="Times New Roman" w:cs="Times New Roman"/>
          <w:color w:val="auto"/>
        </w:rPr>
      </w:pPr>
      <w:r>
        <w:rPr>
          <w:rFonts w:ascii="Times New Roman" w:hAnsi="Times New Roman" w:cs="Times New Roman"/>
          <w:color w:val="auto"/>
        </w:rPr>
        <w:t>ASA</w:t>
      </w:r>
      <w:r w:rsidRPr="00691C89">
        <w:rPr>
          <w:rFonts w:ascii="Times New Roman" w:hAnsi="Times New Roman" w:cs="Times New Roman"/>
          <w:color w:val="auto"/>
        </w:rPr>
        <w:t xml:space="preserve"> in brain tumor resection. Cessation of ASA in patients with cardiovascular disease is associated with a known increased risk of thrombotic events, especially in patients with coronary stents.</w:t>
      </w:r>
    </w:p>
    <w:p w:rsidR="00A83C59" w:rsidRPr="00691C89" w:rsidRDefault="00A83C59" w:rsidP="00A83C59">
      <w:pPr>
        <w:pStyle w:val="Default"/>
        <w:ind w:left="720"/>
        <w:rPr>
          <w:rFonts w:ascii="Times New Roman" w:hAnsi="Times New Roman" w:cs="Times New Roman"/>
          <w:color w:val="auto"/>
        </w:rPr>
      </w:pPr>
      <w:r w:rsidRPr="00691C89">
        <w:rPr>
          <w:rFonts w:ascii="Times New Roman" w:hAnsi="Times New Roman" w:cs="Times New Roman"/>
          <w:color w:val="auto"/>
        </w:rPr>
        <w:t>Of the 452 patients analyzed, there were no statistical differences detected between the groups (stopped ASA preop or continued uninterrupted) for outcomes including bleeding complications, need for reoperation, or thrombotic complications.</w:t>
      </w:r>
    </w:p>
    <w:p w:rsidR="00A83C59" w:rsidRDefault="00A83C59" w:rsidP="00A83C59">
      <w:pPr>
        <w:pStyle w:val="Default"/>
        <w:ind w:left="720"/>
        <w:rPr>
          <w:rFonts w:ascii="Times New Roman" w:hAnsi="Times New Roman" w:cs="Times New Roman"/>
          <w:color w:val="auto"/>
        </w:rPr>
      </w:pPr>
      <w:r w:rsidRPr="00691C89">
        <w:rPr>
          <w:rFonts w:ascii="Times New Roman" w:hAnsi="Times New Roman" w:cs="Times New Roman"/>
          <w:color w:val="auto"/>
        </w:rPr>
        <w:t>CONCLUSIONS:</w:t>
      </w:r>
      <w:r>
        <w:rPr>
          <w:rFonts w:ascii="Times New Roman" w:hAnsi="Times New Roman" w:cs="Times New Roman"/>
          <w:color w:val="auto"/>
        </w:rPr>
        <w:t xml:space="preserve"> </w:t>
      </w:r>
      <w:r w:rsidRPr="00691C89">
        <w:rPr>
          <w:rFonts w:ascii="Times New Roman" w:hAnsi="Times New Roman" w:cs="Times New Roman"/>
          <w:color w:val="auto"/>
        </w:rPr>
        <w:t>In this analysis, perioperative low dose ASA use was not associated with increased risk of perioperative complications.</w:t>
      </w:r>
    </w:p>
    <w:p w:rsidR="00A83C59" w:rsidRPr="00691C89" w:rsidRDefault="00A83C59" w:rsidP="00A83C59">
      <w:pPr>
        <w:pStyle w:val="Articlename"/>
      </w:pPr>
      <w:r w:rsidRPr="00691C89">
        <w:t>Rahman M</w:t>
      </w:r>
      <w:r>
        <w:t xml:space="preserve"> “</w:t>
      </w:r>
      <w:r w:rsidRPr="00691C89">
        <w:t>Effects of Perioperative Acetyl Salicylic Acid on Clinical Outcomes in Patients Undergoing Craniotomy for Brain Tumor.</w:t>
      </w:r>
      <w:r>
        <w:t>”</w:t>
      </w:r>
      <w:r w:rsidRPr="00761177">
        <w:t xml:space="preserve"> </w:t>
      </w:r>
      <w:r w:rsidRPr="00691C89">
        <w:t>World Neurosurg. 2015 Jul;84(1):41-7.</w:t>
      </w:r>
    </w:p>
    <w:p w:rsidR="00A83C59" w:rsidRDefault="00A83C59" w:rsidP="00A83C59"/>
    <w:p w:rsidR="00A83C59" w:rsidRDefault="00A83C59" w:rsidP="00A83C59"/>
    <w:p w:rsidR="006A2649" w:rsidRDefault="006A2649" w:rsidP="00A83C59"/>
    <w:p w:rsidR="00E06983" w:rsidRDefault="00F30C7E" w:rsidP="00E06983">
      <w:pPr>
        <w:pStyle w:val="Antrat"/>
      </w:pPr>
      <w:bookmarkStart w:id="8" w:name="_Toc4283046"/>
      <w:bookmarkEnd w:id="7"/>
      <w:r>
        <w:t>Diabetes</w:t>
      </w:r>
      <w:bookmarkEnd w:id="8"/>
    </w:p>
    <w:p w:rsidR="00E06983" w:rsidRDefault="00E06983" w:rsidP="00E06983">
      <w:pPr>
        <w:pStyle w:val="Default"/>
        <w:numPr>
          <w:ilvl w:val="0"/>
          <w:numId w:val="5"/>
        </w:numPr>
        <w:rPr>
          <w:rFonts w:ascii="Times New Roman" w:hAnsi="Times New Roman" w:cs="Times New Roman"/>
          <w:color w:val="auto"/>
        </w:rPr>
      </w:pPr>
      <w:r w:rsidRPr="00761177">
        <w:rPr>
          <w:rStyle w:val="Drugname2Char"/>
          <w:rFonts w:ascii="Times New Roman" w:hAnsi="Times New Roman" w:cs="Times New Roman"/>
          <w:lang w:val="en-US"/>
        </w:rPr>
        <w:t>metformin</w:t>
      </w:r>
      <w:r w:rsidRPr="00AC5078">
        <w:rPr>
          <w:rFonts w:ascii="Times New Roman" w:hAnsi="Times New Roman" w:cs="Times New Roman"/>
          <w:color w:val="auto"/>
        </w:rPr>
        <w:t xml:space="preserve"> should be held 48 hours before any surgery, and should not be restarted post-op until patient has fully recovered and </w:t>
      </w:r>
      <w:r w:rsidR="00701452">
        <w:rPr>
          <w:rFonts w:ascii="Times New Roman" w:hAnsi="Times New Roman" w:cs="Times New Roman"/>
          <w:color w:val="auto"/>
        </w:rPr>
        <w:t>is eating and drinking normally</w:t>
      </w:r>
    </w:p>
    <w:p w:rsidR="00701452" w:rsidRDefault="00701452" w:rsidP="00701452">
      <w:pPr>
        <w:pStyle w:val="Default"/>
        <w:ind w:left="1440"/>
        <w:rPr>
          <w:rFonts w:ascii="Times New Roman" w:hAnsi="Times New Roman" w:cs="Times New Roman"/>
          <w:color w:val="auto"/>
        </w:rPr>
      </w:pPr>
      <w:r w:rsidRPr="00701452">
        <w:rPr>
          <w:rFonts w:ascii="Times New Roman" w:hAnsi="Times New Roman" w:cs="Times New Roman"/>
          <w:color w:val="auto"/>
        </w:rPr>
        <w:t xml:space="preserve">N.B. especially important in </w:t>
      </w:r>
      <w:r w:rsidRPr="00701452">
        <w:rPr>
          <w:rFonts w:ascii="Times New Roman" w:hAnsi="Times New Roman" w:cs="Times New Roman"/>
          <w:b/>
          <w:color w:val="auto"/>
        </w:rPr>
        <w:t>angiography</w:t>
      </w:r>
      <w:r w:rsidRPr="00701452">
        <w:rPr>
          <w:rFonts w:ascii="Times New Roman" w:hAnsi="Times New Roman" w:cs="Times New Roman"/>
          <w:color w:val="auto"/>
        </w:rPr>
        <w:t xml:space="preserve"> </w:t>
      </w:r>
      <w:r>
        <w:rPr>
          <w:rFonts w:ascii="Times New Roman" w:hAnsi="Times New Roman" w:cs="Times New Roman"/>
          <w:color w:val="auto"/>
        </w:rPr>
        <w:t>–</w:t>
      </w:r>
      <w:r w:rsidRPr="00701452">
        <w:rPr>
          <w:rFonts w:ascii="Times New Roman" w:hAnsi="Times New Roman" w:cs="Times New Roman"/>
          <w:color w:val="auto"/>
        </w:rPr>
        <w:t xml:space="preserve"> </w:t>
      </w:r>
      <w:r>
        <w:rPr>
          <w:rFonts w:ascii="Times New Roman" w:hAnsi="Times New Roman" w:cs="Times New Roman"/>
          <w:color w:val="auto"/>
        </w:rPr>
        <w:t xml:space="preserve">risk of </w:t>
      </w:r>
      <w:r w:rsidRPr="00701452">
        <w:rPr>
          <w:rFonts w:ascii="Times New Roman" w:hAnsi="Times New Roman" w:cs="Times New Roman"/>
          <w:i/>
          <w:color w:val="0000FF"/>
        </w:rPr>
        <w:t>lactic acidosis</w:t>
      </w:r>
      <w:r>
        <w:rPr>
          <w:rFonts w:ascii="Times New Roman" w:hAnsi="Times New Roman" w:cs="Times New Roman"/>
          <w:color w:val="auto"/>
        </w:rPr>
        <w:t xml:space="preserve"> - ho</w:t>
      </w:r>
      <w:r w:rsidRPr="00AC5078">
        <w:rPr>
          <w:rFonts w:ascii="Times New Roman" w:hAnsi="Times New Roman" w:cs="Times New Roman"/>
          <w:color w:val="auto"/>
        </w:rPr>
        <w:t xml:space="preserve">ld </w:t>
      </w:r>
      <w:r>
        <w:rPr>
          <w:rFonts w:ascii="Times New Roman" w:hAnsi="Times New Roman" w:cs="Times New Roman"/>
          <w:color w:val="auto"/>
        </w:rPr>
        <w:t xml:space="preserve">metformin </w:t>
      </w:r>
      <w:r w:rsidRPr="00AC5078">
        <w:rPr>
          <w:rFonts w:ascii="Times New Roman" w:hAnsi="Times New Roman" w:cs="Times New Roman"/>
          <w:color w:val="auto"/>
        </w:rPr>
        <w:t>48 hours</w:t>
      </w:r>
      <w:r>
        <w:rPr>
          <w:rFonts w:ascii="Times New Roman" w:hAnsi="Times New Roman" w:cs="Times New Roman"/>
          <w:color w:val="auto"/>
        </w:rPr>
        <w:t xml:space="preserve"> after angiography.</w:t>
      </w:r>
    </w:p>
    <w:p w:rsidR="00F30C7E" w:rsidRDefault="00F30C7E" w:rsidP="00F30C7E">
      <w:pPr>
        <w:pStyle w:val="Default"/>
        <w:rPr>
          <w:rFonts w:ascii="Times New Roman" w:hAnsi="Times New Roman" w:cs="Times New Roman"/>
          <w:color w:val="auto"/>
        </w:rPr>
      </w:pPr>
    </w:p>
    <w:p w:rsidR="00F30C7E" w:rsidRDefault="00F30C7E" w:rsidP="00F30C7E">
      <w:pPr>
        <w:pStyle w:val="Default"/>
        <w:rPr>
          <w:rFonts w:ascii="Times New Roman" w:hAnsi="Times New Roman" w:cs="Times New Roman"/>
          <w:color w:val="auto"/>
        </w:rPr>
      </w:pPr>
    </w:p>
    <w:p w:rsidR="00F30C7E" w:rsidRDefault="00F30C7E" w:rsidP="00F30C7E">
      <w:pPr>
        <w:pStyle w:val="Antrat"/>
      </w:pPr>
      <w:bookmarkStart w:id="9" w:name="_Toc4283047"/>
      <w:r>
        <w:t>Antihypertensives</w:t>
      </w:r>
      <w:bookmarkEnd w:id="9"/>
    </w:p>
    <w:p w:rsidR="00F30C7E" w:rsidRDefault="00F30C7E" w:rsidP="00F30C7E">
      <w:r>
        <w:t xml:space="preserve">Doses – see </w:t>
      </w:r>
      <w:hyperlink r:id="rId15" w:anchor="ANTIHYPERTENSIVES" w:history="1">
        <w:r w:rsidRPr="00A83C59">
          <w:rPr>
            <w:rStyle w:val="Hyperlink"/>
          </w:rPr>
          <w:t>p. Rx0 &gt;&gt;</w:t>
        </w:r>
      </w:hyperlink>
    </w:p>
    <w:p w:rsidR="00F30C7E" w:rsidRDefault="00F30C7E" w:rsidP="00F30C7E">
      <w:pPr>
        <w:pStyle w:val="Default"/>
        <w:rPr>
          <w:rFonts w:ascii="Times New Roman" w:hAnsi="Times New Roman" w:cs="Times New Roman"/>
          <w:color w:val="auto"/>
        </w:rPr>
      </w:pPr>
    </w:p>
    <w:p w:rsidR="00925078" w:rsidRDefault="00925078" w:rsidP="00E06983">
      <w:pPr>
        <w:pStyle w:val="Default"/>
        <w:numPr>
          <w:ilvl w:val="0"/>
          <w:numId w:val="5"/>
        </w:numPr>
        <w:rPr>
          <w:rFonts w:ascii="Times New Roman" w:hAnsi="Times New Roman" w:cs="Times New Roman"/>
          <w:color w:val="auto"/>
        </w:rPr>
      </w:pPr>
      <w:r w:rsidRPr="00761177">
        <w:rPr>
          <w:rStyle w:val="Drugname2Char"/>
          <w:rFonts w:ascii="Times New Roman" w:hAnsi="Times New Roman" w:cs="Times New Roman"/>
          <w:lang w:val="en-US"/>
        </w:rPr>
        <w:t>β-blockers</w:t>
      </w:r>
      <w:r w:rsidR="00BA5B7A" w:rsidRPr="001A1CA6">
        <w:rPr>
          <w:rFonts w:ascii="Times New Roman" w:hAnsi="Times New Roman" w:cs="Times New Roman"/>
          <w:color w:val="auto"/>
        </w:rPr>
        <w:t xml:space="preserve"> – </w:t>
      </w:r>
      <w:r w:rsidR="00BA5B7A">
        <w:rPr>
          <w:rFonts w:ascii="Times New Roman" w:hAnsi="Times New Roman" w:cs="Times New Roman"/>
          <w:color w:val="auto"/>
        </w:rPr>
        <w:t>continue periop!</w:t>
      </w:r>
    </w:p>
    <w:p w:rsidR="00A83C59" w:rsidRDefault="00A83C59" w:rsidP="00A83C59">
      <w:pPr>
        <w:pStyle w:val="Default"/>
        <w:rPr>
          <w:rStyle w:val="Drugname2Char"/>
          <w:rFonts w:ascii="Times New Roman" w:hAnsi="Times New Roman" w:cs="Times New Roman"/>
          <w:lang w:val="en-US"/>
        </w:rPr>
      </w:pPr>
    </w:p>
    <w:p w:rsidR="00A83C59" w:rsidRDefault="00A83C59" w:rsidP="00A83C59">
      <w:pPr>
        <w:pStyle w:val="Default"/>
        <w:rPr>
          <w:rStyle w:val="Drugname2Char"/>
          <w:rFonts w:ascii="Times New Roman" w:hAnsi="Times New Roman" w:cs="Times New Roman"/>
          <w:lang w:val="en-US"/>
        </w:rPr>
      </w:pPr>
    </w:p>
    <w:p w:rsidR="00A83C59" w:rsidRPr="00A83C59" w:rsidRDefault="00A83C59" w:rsidP="00A83C59">
      <w:pPr>
        <w:pStyle w:val="Antrat"/>
      </w:pPr>
      <w:bookmarkStart w:id="10" w:name="_Toc4283048"/>
      <w:r w:rsidRPr="00A83C59">
        <w:t>Sedation</w:t>
      </w:r>
      <w:bookmarkEnd w:id="10"/>
    </w:p>
    <w:p w:rsidR="00A83C59" w:rsidRDefault="00A83C59" w:rsidP="00A83C59">
      <w:r>
        <w:t xml:space="preserve">Doses – see </w:t>
      </w:r>
      <w:hyperlink r:id="rId16" w:anchor="SEDATIVES" w:history="1">
        <w:r w:rsidRPr="00A83C59">
          <w:rPr>
            <w:rStyle w:val="Hyperlink"/>
          </w:rPr>
          <w:t>p. Rx0 &gt;&gt;</w:t>
        </w:r>
      </w:hyperlink>
    </w:p>
    <w:p w:rsidR="00A83C59" w:rsidRPr="00AC5078" w:rsidRDefault="00A83C59" w:rsidP="00A83C59"/>
    <w:p w:rsidR="00E06983" w:rsidRPr="00CC15E3" w:rsidRDefault="00CC15E3" w:rsidP="00CC15E3">
      <w:pPr>
        <w:pStyle w:val="Default"/>
        <w:numPr>
          <w:ilvl w:val="0"/>
          <w:numId w:val="13"/>
        </w:numPr>
        <w:rPr>
          <w:rFonts w:ascii="Times New Roman" w:hAnsi="Times New Roman" w:cs="Times New Roman"/>
          <w:color w:val="auto"/>
        </w:rPr>
      </w:pPr>
      <w:r w:rsidRPr="00CC15E3">
        <w:rPr>
          <w:rFonts w:ascii="Times New Roman" w:hAnsi="Times New Roman" w:cs="Times New Roman"/>
          <w:color w:val="auto"/>
        </w:rPr>
        <w:t xml:space="preserve">in intubated patients who are sufficiently alert to experience discomfort from endotracheal tube, low doses of short-acting anesthetics such as </w:t>
      </w:r>
      <w:r w:rsidRPr="00761177">
        <w:rPr>
          <w:rStyle w:val="Drugname2Char"/>
          <w:rFonts w:ascii="Times New Roman" w:hAnsi="Times New Roman" w:cs="Times New Roman"/>
          <w:lang w:val="en-US"/>
        </w:rPr>
        <w:t>propofol</w:t>
      </w:r>
      <w:r w:rsidRPr="00CC15E3">
        <w:rPr>
          <w:rFonts w:ascii="Times New Roman" w:hAnsi="Times New Roman" w:cs="Times New Roman"/>
          <w:color w:val="auto"/>
        </w:rPr>
        <w:t xml:space="preserve"> or </w:t>
      </w:r>
      <w:r w:rsidRPr="00761177">
        <w:rPr>
          <w:rStyle w:val="Drugname2Char"/>
          <w:rFonts w:ascii="Times New Roman" w:hAnsi="Times New Roman" w:cs="Times New Roman"/>
          <w:lang w:val="en-US"/>
        </w:rPr>
        <w:t>dexmedetomidine</w:t>
      </w:r>
      <w:r w:rsidRPr="00CC15E3">
        <w:rPr>
          <w:rFonts w:ascii="Times New Roman" w:hAnsi="Times New Roman" w:cs="Times New Roman"/>
          <w:color w:val="auto"/>
        </w:rPr>
        <w:t xml:space="preserve"> can be used to avoid marked hypertension, anxiety, or dyssynchrony with ventilator.</w:t>
      </w:r>
    </w:p>
    <w:p w:rsidR="00442EDA" w:rsidRDefault="00442EDA" w:rsidP="00442EDA"/>
    <w:p w:rsidR="00C526D6" w:rsidRDefault="00C526D6" w:rsidP="00442EDA"/>
    <w:p w:rsidR="00C526D6" w:rsidRPr="00A83C59" w:rsidRDefault="00C526D6" w:rsidP="00A83C59">
      <w:pPr>
        <w:pStyle w:val="Antrat"/>
      </w:pPr>
      <w:bookmarkStart w:id="11" w:name="_Toc4283049"/>
      <w:r w:rsidRPr="00A83C59">
        <w:t>Seizure prophylaxis</w:t>
      </w:r>
      <w:bookmarkEnd w:id="11"/>
    </w:p>
    <w:p w:rsidR="00F30C7E" w:rsidRDefault="00F30C7E" w:rsidP="00F30C7E">
      <w:r>
        <w:t xml:space="preserve">Doses – see </w:t>
      </w:r>
      <w:hyperlink r:id="rId17" w:anchor="AED" w:history="1">
        <w:r w:rsidRPr="00A83C59">
          <w:rPr>
            <w:rStyle w:val="Hyperlink"/>
          </w:rPr>
          <w:t>p. Rx0 &gt;&gt;</w:t>
        </w:r>
      </w:hyperlink>
    </w:p>
    <w:p w:rsidR="00F30C7E" w:rsidRDefault="00F30C7E" w:rsidP="00F30C7E"/>
    <w:p w:rsidR="00C526D6" w:rsidRPr="00A83C59" w:rsidRDefault="00C526D6" w:rsidP="00A83C59">
      <w:pPr>
        <w:pStyle w:val="ListParagraph"/>
        <w:numPr>
          <w:ilvl w:val="0"/>
          <w:numId w:val="18"/>
        </w:numPr>
      </w:pPr>
      <w:r w:rsidRPr="00F30C7E">
        <w:rPr>
          <w:rStyle w:val="Drugname2Char"/>
        </w:rPr>
        <w:t>phenytoin / fosphenytoin</w:t>
      </w:r>
      <w:r w:rsidRPr="00A83C59">
        <w:t xml:space="preserve"> (check serum level after 3rd dose; goal 1-2; reload if needed)</w:t>
      </w:r>
    </w:p>
    <w:p w:rsidR="00C526D6" w:rsidRPr="00A83C59" w:rsidRDefault="00C526D6" w:rsidP="00A83C59">
      <w:pPr>
        <w:pStyle w:val="ListParagraph"/>
        <w:numPr>
          <w:ilvl w:val="0"/>
          <w:numId w:val="18"/>
        </w:numPr>
      </w:pPr>
      <w:r w:rsidRPr="00F30C7E">
        <w:rPr>
          <w:rStyle w:val="Drugname2Char"/>
        </w:rPr>
        <w:t>levetiracetam</w:t>
      </w:r>
    </w:p>
    <w:p w:rsidR="00C526D6" w:rsidRDefault="00C526D6" w:rsidP="00A83C59">
      <w:pPr>
        <w:pStyle w:val="Default"/>
        <w:numPr>
          <w:ilvl w:val="0"/>
          <w:numId w:val="13"/>
        </w:numPr>
        <w:rPr>
          <w:rFonts w:ascii="Times New Roman" w:hAnsi="Times New Roman" w:cs="Times New Roman"/>
          <w:color w:val="auto"/>
        </w:rPr>
      </w:pPr>
      <w:r w:rsidRPr="00A83C59">
        <w:rPr>
          <w:rFonts w:ascii="Times New Roman" w:hAnsi="Times New Roman" w:cs="Times New Roman"/>
          <w:color w:val="auto"/>
        </w:rPr>
        <w:t>for 7 days, then stop (unless documented seizures or paralyzed – continue until TOF 4/4 and no seizure activity noted).</w:t>
      </w:r>
    </w:p>
    <w:p w:rsidR="00A83C59" w:rsidRPr="00A83C59" w:rsidRDefault="00A83C59" w:rsidP="00A83C59">
      <w:pPr>
        <w:pStyle w:val="Default"/>
        <w:rPr>
          <w:rFonts w:ascii="Times New Roman" w:hAnsi="Times New Roman" w:cs="Times New Roman"/>
          <w:color w:val="auto"/>
        </w:rPr>
      </w:pPr>
    </w:p>
    <w:p w:rsidR="00CC15E3" w:rsidRDefault="00CC15E3" w:rsidP="00442EDA"/>
    <w:p w:rsidR="00CC1F54" w:rsidRDefault="00CC1F54" w:rsidP="00CC1F54">
      <w:pPr>
        <w:pStyle w:val="Antrat"/>
      </w:pPr>
      <w:bookmarkStart w:id="12" w:name="_Toc4283050"/>
      <w:r w:rsidRPr="00C24A85">
        <w:t>Nausea And Vomiting</w:t>
      </w:r>
      <w:bookmarkEnd w:id="12"/>
    </w:p>
    <w:p w:rsidR="00F30C7E" w:rsidRDefault="00F30C7E" w:rsidP="00F30C7E">
      <w:r>
        <w:t xml:space="preserve">Doses – see </w:t>
      </w:r>
      <w:hyperlink r:id="rId18" w:anchor="ANTIEMETICS" w:history="1">
        <w:r w:rsidRPr="00A83C59">
          <w:rPr>
            <w:rStyle w:val="Hyperlink"/>
          </w:rPr>
          <w:t>p. Rx0 &gt;&gt;</w:t>
        </w:r>
      </w:hyperlink>
    </w:p>
    <w:p w:rsidR="00F30C7E" w:rsidRDefault="00F30C7E" w:rsidP="00F30C7E">
      <w:pPr>
        <w:pStyle w:val="Default"/>
        <w:rPr>
          <w:rFonts w:ascii="Times New Roman" w:hAnsi="Times New Roman" w:cs="Times New Roman"/>
          <w:color w:val="auto"/>
        </w:rPr>
      </w:pPr>
    </w:p>
    <w:p w:rsidR="00CC1F54" w:rsidRDefault="00CA3D1F" w:rsidP="00CC1F54">
      <w:pPr>
        <w:pStyle w:val="Default"/>
        <w:numPr>
          <w:ilvl w:val="0"/>
          <w:numId w:val="13"/>
        </w:numPr>
        <w:rPr>
          <w:rFonts w:ascii="Times New Roman" w:hAnsi="Times New Roman" w:cs="Times New Roman"/>
          <w:color w:val="auto"/>
        </w:rPr>
      </w:pPr>
      <w:r w:rsidRPr="00C24A85">
        <w:rPr>
          <w:rFonts w:ascii="Times New Roman" w:hAnsi="Times New Roman" w:cs="Times New Roman"/>
          <w:color w:val="auto"/>
        </w:rPr>
        <w:t>post-operative</w:t>
      </w:r>
      <w:r w:rsidR="00CC1F54" w:rsidRPr="00C24A85">
        <w:rPr>
          <w:rFonts w:ascii="Times New Roman" w:hAnsi="Times New Roman" w:cs="Times New Roman"/>
          <w:color w:val="auto"/>
        </w:rPr>
        <w:t xml:space="preserve"> nausea </w:t>
      </w:r>
      <w:r>
        <w:rPr>
          <w:rFonts w:ascii="Times New Roman" w:hAnsi="Times New Roman" w:cs="Times New Roman"/>
          <w:color w:val="auto"/>
        </w:rPr>
        <w:t>and vomiting</w:t>
      </w:r>
      <w:r w:rsidR="00CC1F54" w:rsidRPr="00C24A85">
        <w:rPr>
          <w:rFonts w:ascii="Times New Roman" w:hAnsi="Times New Roman" w:cs="Times New Roman"/>
          <w:color w:val="auto"/>
        </w:rPr>
        <w:t xml:space="preserve"> may</w:t>
      </w:r>
      <w:r w:rsidR="00CC1F54">
        <w:rPr>
          <w:rFonts w:ascii="Times New Roman" w:hAnsi="Times New Roman" w:cs="Times New Roman"/>
          <w:color w:val="auto"/>
        </w:rPr>
        <w:t>:</w:t>
      </w:r>
    </w:p>
    <w:p w:rsidR="00CC1F54" w:rsidRDefault="00CC1F54" w:rsidP="00CC1F54">
      <w:pPr>
        <w:pStyle w:val="Default"/>
        <w:numPr>
          <w:ilvl w:val="0"/>
          <w:numId w:val="14"/>
        </w:numPr>
        <w:rPr>
          <w:rFonts w:ascii="Times New Roman" w:hAnsi="Times New Roman" w:cs="Times New Roman"/>
          <w:color w:val="auto"/>
        </w:rPr>
      </w:pPr>
      <w:r>
        <w:rPr>
          <w:rFonts w:ascii="Times New Roman" w:hAnsi="Times New Roman" w:cs="Times New Roman"/>
          <w:color w:val="auto"/>
        </w:rPr>
        <w:t xml:space="preserve">adversely affect </w:t>
      </w:r>
      <w:r w:rsidRPr="00CC1F54">
        <w:rPr>
          <w:rFonts w:ascii="Times New Roman" w:hAnsi="Times New Roman" w:cs="Times New Roman"/>
          <w:b/>
          <w:color w:val="auto"/>
        </w:rPr>
        <w:t>ICP</w:t>
      </w:r>
    </w:p>
    <w:p w:rsidR="00CC1F54" w:rsidRPr="00C24A85" w:rsidRDefault="00CC1F54" w:rsidP="00CC1F54">
      <w:pPr>
        <w:pStyle w:val="Default"/>
        <w:numPr>
          <w:ilvl w:val="0"/>
          <w:numId w:val="14"/>
        </w:numPr>
        <w:rPr>
          <w:rFonts w:ascii="Times New Roman" w:hAnsi="Times New Roman" w:cs="Times New Roman"/>
          <w:color w:val="auto"/>
        </w:rPr>
      </w:pPr>
      <w:r w:rsidRPr="00C24A85">
        <w:rPr>
          <w:rFonts w:ascii="Times New Roman" w:hAnsi="Times New Roman" w:cs="Times New Roman"/>
          <w:color w:val="auto"/>
        </w:rPr>
        <w:t>may</w:t>
      </w:r>
      <w:r w:rsidRPr="00CC1F54">
        <w:rPr>
          <w:rFonts w:ascii="Times New Roman" w:hAnsi="Times New Roman" w:cs="Times New Roman"/>
          <w:color w:val="auto"/>
        </w:rPr>
        <w:t xml:space="preserve"> </w:t>
      </w:r>
      <w:r w:rsidRPr="00C24A85">
        <w:rPr>
          <w:rFonts w:ascii="Times New Roman" w:hAnsi="Times New Roman" w:cs="Times New Roman"/>
          <w:color w:val="auto"/>
        </w:rPr>
        <w:t xml:space="preserve">negatively impact recent </w:t>
      </w:r>
      <w:r w:rsidRPr="00CC1F54">
        <w:rPr>
          <w:rFonts w:ascii="Times New Roman" w:hAnsi="Times New Roman" w:cs="Times New Roman"/>
          <w:b/>
          <w:color w:val="auto"/>
        </w:rPr>
        <w:t>cervical</w:t>
      </w:r>
      <w:r w:rsidRPr="00C24A85">
        <w:rPr>
          <w:rFonts w:ascii="Times New Roman" w:hAnsi="Times New Roman" w:cs="Times New Roman"/>
          <w:color w:val="auto"/>
        </w:rPr>
        <w:t xml:space="preserve"> surgical procedures</w:t>
      </w:r>
    </w:p>
    <w:p w:rsidR="00CC1F54" w:rsidRDefault="00CC1F54" w:rsidP="00442EDA"/>
    <w:p w:rsidR="002A214F" w:rsidRDefault="002A214F" w:rsidP="00442EDA"/>
    <w:p w:rsidR="002A214F" w:rsidRDefault="002A214F" w:rsidP="002A214F">
      <w:pPr>
        <w:pStyle w:val="Antrat"/>
      </w:pPr>
      <w:bookmarkStart w:id="13" w:name="_Toc4283051"/>
      <w:r>
        <w:t>Feeding</w:t>
      </w:r>
      <w:bookmarkEnd w:id="13"/>
    </w:p>
    <w:p w:rsidR="002A214F" w:rsidRDefault="00CA3D1F" w:rsidP="00442EDA">
      <w:r>
        <w:t>Dobbhoff</w:t>
      </w:r>
      <w:r w:rsidR="002A214F">
        <w:t xml:space="preserve"> tube – </w:t>
      </w:r>
      <w:hyperlink r:id="rId19" w:anchor="Nasogastric_tubes" w:history="1">
        <w:r w:rsidR="002A214F" w:rsidRPr="002A214F">
          <w:rPr>
            <w:rStyle w:val="Hyperlink"/>
          </w:rPr>
          <w:t>see p. 2209 &gt;&gt;</w:t>
        </w:r>
      </w:hyperlink>
    </w:p>
    <w:p w:rsidR="002A214F" w:rsidRDefault="002A214F" w:rsidP="00442EDA"/>
    <w:p w:rsidR="00F30C7E" w:rsidRPr="001A1CA6" w:rsidRDefault="00F30C7E" w:rsidP="00F30C7E">
      <w:pPr>
        <w:pStyle w:val="Nervous6"/>
        <w:ind w:right="7312"/>
      </w:pPr>
      <w:bookmarkStart w:id="14" w:name="_Toc4283052"/>
      <w:r>
        <w:t>Stomach protection</w:t>
      </w:r>
      <w:bookmarkEnd w:id="14"/>
    </w:p>
    <w:p w:rsidR="00F30C7E" w:rsidRPr="001A1CA6" w:rsidRDefault="00F30C7E" w:rsidP="00F30C7E">
      <w:pPr>
        <w:pStyle w:val="Default"/>
        <w:numPr>
          <w:ilvl w:val="0"/>
          <w:numId w:val="17"/>
        </w:numPr>
        <w:rPr>
          <w:rFonts w:ascii="Times New Roman" w:hAnsi="Times New Roman" w:cs="Times New Roman"/>
          <w:color w:val="auto"/>
        </w:rPr>
      </w:pPr>
      <w:r w:rsidRPr="001A1CA6">
        <w:rPr>
          <w:rFonts w:ascii="Times New Roman" w:hAnsi="Times New Roman" w:cs="Times New Roman"/>
          <w:color w:val="auto"/>
        </w:rPr>
        <w:t>PPI</w:t>
      </w:r>
    </w:p>
    <w:p w:rsidR="00F30C7E" w:rsidRPr="001A1CA6" w:rsidRDefault="00F30C7E" w:rsidP="00F30C7E">
      <w:pPr>
        <w:pStyle w:val="Default"/>
        <w:numPr>
          <w:ilvl w:val="0"/>
          <w:numId w:val="17"/>
        </w:numPr>
        <w:rPr>
          <w:rFonts w:ascii="Times New Roman" w:hAnsi="Times New Roman" w:cs="Times New Roman"/>
          <w:color w:val="auto"/>
        </w:rPr>
      </w:pPr>
      <w:r w:rsidRPr="001A1CA6">
        <w:rPr>
          <w:rFonts w:ascii="Times New Roman" w:hAnsi="Times New Roman" w:cs="Times New Roman"/>
          <w:color w:val="auto"/>
        </w:rPr>
        <w:t>H2-blockers – risk of thrombocytopenia</w:t>
      </w:r>
    </w:p>
    <w:p w:rsidR="00F30C7E" w:rsidRDefault="00F30C7E" w:rsidP="00442EDA"/>
    <w:p w:rsidR="002A214F" w:rsidRDefault="002A214F" w:rsidP="00442EDA"/>
    <w:p w:rsidR="008D3B3F" w:rsidRDefault="008D3B3F" w:rsidP="00442EDA"/>
    <w:p w:rsidR="008D3B3F" w:rsidRPr="008D3B3F" w:rsidRDefault="008D3B3F" w:rsidP="008D3B3F">
      <w:pPr>
        <w:pStyle w:val="Antrat"/>
      </w:pPr>
      <w:bookmarkStart w:id="15" w:name="_Toc4283053"/>
      <w:r w:rsidRPr="008D3B3F">
        <w:t>Alcohol</w:t>
      </w:r>
      <w:bookmarkEnd w:id="15"/>
    </w:p>
    <w:p w:rsidR="008D3B3F" w:rsidRPr="008D3B3F" w:rsidRDefault="008D3B3F" w:rsidP="008D3B3F">
      <w:pPr>
        <w:pStyle w:val="Default"/>
        <w:numPr>
          <w:ilvl w:val="0"/>
          <w:numId w:val="13"/>
        </w:numPr>
        <w:rPr>
          <w:rFonts w:ascii="Times New Roman" w:hAnsi="Times New Roman" w:cs="Times New Roman"/>
          <w:color w:val="auto"/>
        </w:rPr>
      </w:pPr>
      <w:r>
        <w:rPr>
          <w:rFonts w:ascii="Times New Roman" w:hAnsi="Times New Roman" w:cs="Times New Roman"/>
          <w:color w:val="auto"/>
        </w:rPr>
        <w:t>if s</w:t>
      </w:r>
      <w:r w:rsidRPr="008D3B3F">
        <w:rPr>
          <w:rFonts w:ascii="Times New Roman" w:hAnsi="Times New Roman" w:cs="Times New Roman"/>
          <w:color w:val="auto"/>
        </w:rPr>
        <w:t>igns of alcohol abuse: CIWA scale with phenobarbital PRN, thiamine 100 mg IV STAT, “goody“ bag IV, substance abuse consult</w:t>
      </w:r>
      <w:r>
        <w:rPr>
          <w:rFonts w:ascii="Times New Roman" w:hAnsi="Times New Roman" w:cs="Times New Roman"/>
          <w:color w:val="auto"/>
        </w:rPr>
        <w:t>.</w:t>
      </w:r>
    </w:p>
    <w:p w:rsidR="008D3B3F" w:rsidRDefault="008D3B3F" w:rsidP="00442EDA"/>
    <w:p w:rsidR="00107434" w:rsidRDefault="00107434" w:rsidP="00442EDA"/>
    <w:p w:rsidR="00107434" w:rsidRDefault="00107434" w:rsidP="00107434">
      <w:pPr>
        <w:pStyle w:val="Antrat"/>
      </w:pPr>
      <w:bookmarkStart w:id="16" w:name="_Toc4283054"/>
      <w:r>
        <w:t>Cardiovascular and Pulmonary</w:t>
      </w:r>
      <w:bookmarkEnd w:id="16"/>
    </w:p>
    <w:p w:rsidR="00107434" w:rsidRPr="00107434" w:rsidRDefault="00107434" w:rsidP="00107434">
      <w:pPr>
        <w:pStyle w:val="Default"/>
        <w:numPr>
          <w:ilvl w:val="0"/>
          <w:numId w:val="13"/>
        </w:numPr>
        <w:rPr>
          <w:rFonts w:ascii="Times New Roman" w:hAnsi="Times New Roman" w:cs="Times New Roman"/>
          <w:color w:val="auto"/>
        </w:rPr>
      </w:pPr>
      <w:r w:rsidRPr="00107434">
        <w:rPr>
          <w:rFonts w:ascii="Times New Roman" w:hAnsi="Times New Roman" w:cs="Times New Roman"/>
          <w:color w:val="auto"/>
        </w:rPr>
        <w:t>keep normotensive (SBP goal 100-160 mmHg); exceptions:</w:t>
      </w:r>
    </w:p>
    <w:p w:rsidR="00107434" w:rsidRPr="00107434" w:rsidRDefault="00107434" w:rsidP="00107434">
      <w:pPr>
        <w:pStyle w:val="Default"/>
        <w:numPr>
          <w:ilvl w:val="0"/>
          <w:numId w:val="21"/>
        </w:numPr>
        <w:rPr>
          <w:rFonts w:ascii="Times New Roman" w:hAnsi="Times New Roman" w:cs="Times New Roman"/>
          <w:color w:val="auto"/>
        </w:rPr>
      </w:pPr>
      <w:r w:rsidRPr="00107434">
        <w:rPr>
          <w:rFonts w:ascii="Times New Roman" w:hAnsi="Times New Roman" w:cs="Times New Roman"/>
          <w:color w:val="auto"/>
        </w:rPr>
        <w:t>ischemic stroke</w:t>
      </w:r>
    </w:p>
    <w:p w:rsidR="00107434" w:rsidRPr="00107434" w:rsidRDefault="00107434" w:rsidP="00107434">
      <w:pPr>
        <w:pStyle w:val="Default"/>
        <w:numPr>
          <w:ilvl w:val="0"/>
          <w:numId w:val="21"/>
        </w:numPr>
        <w:rPr>
          <w:rFonts w:ascii="Times New Roman" w:hAnsi="Times New Roman" w:cs="Times New Roman"/>
          <w:color w:val="auto"/>
        </w:rPr>
      </w:pPr>
      <w:r w:rsidRPr="00107434">
        <w:rPr>
          <w:rFonts w:ascii="Times New Roman" w:hAnsi="Times New Roman" w:cs="Times New Roman"/>
          <w:color w:val="auto"/>
        </w:rPr>
        <w:t>IPH</w:t>
      </w:r>
    </w:p>
    <w:p w:rsidR="00107434" w:rsidRPr="00107434" w:rsidRDefault="00107434" w:rsidP="00107434">
      <w:pPr>
        <w:pStyle w:val="Default"/>
        <w:numPr>
          <w:ilvl w:val="0"/>
          <w:numId w:val="21"/>
        </w:numPr>
        <w:rPr>
          <w:rFonts w:ascii="Times New Roman" w:hAnsi="Times New Roman" w:cs="Times New Roman"/>
          <w:color w:val="auto"/>
        </w:rPr>
      </w:pPr>
      <w:r w:rsidRPr="00107434">
        <w:rPr>
          <w:rFonts w:ascii="Times New Roman" w:hAnsi="Times New Roman" w:cs="Times New Roman"/>
          <w:color w:val="auto"/>
        </w:rPr>
        <w:t>SAH</w:t>
      </w:r>
    </w:p>
    <w:p w:rsidR="00107434" w:rsidRPr="00107434" w:rsidRDefault="00107434" w:rsidP="00107434">
      <w:pPr>
        <w:pStyle w:val="Default"/>
        <w:numPr>
          <w:ilvl w:val="0"/>
          <w:numId w:val="13"/>
        </w:numPr>
        <w:rPr>
          <w:rFonts w:ascii="Times New Roman" w:hAnsi="Times New Roman" w:cs="Times New Roman"/>
          <w:color w:val="auto"/>
        </w:rPr>
      </w:pPr>
      <w:r w:rsidRPr="00107434">
        <w:rPr>
          <w:rFonts w:ascii="Times New Roman" w:hAnsi="Times New Roman" w:cs="Times New Roman"/>
          <w:color w:val="auto"/>
        </w:rPr>
        <w:t>keep euvolemic (esp. avoid hypotension)</w:t>
      </w:r>
      <w:r w:rsidR="00C22011">
        <w:rPr>
          <w:rFonts w:ascii="Times New Roman" w:hAnsi="Times New Roman" w:cs="Times New Roman"/>
          <w:color w:val="auto"/>
        </w:rPr>
        <w:t>.</w:t>
      </w:r>
    </w:p>
    <w:p w:rsidR="00107434" w:rsidRPr="00107434" w:rsidRDefault="00107434" w:rsidP="00107434">
      <w:pPr>
        <w:pStyle w:val="Default"/>
        <w:numPr>
          <w:ilvl w:val="0"/>
          <w:numId w:val="13"/>
        </w:numPr>
        <w:rPr>
          <w:rFonts w:ascii="Times New Roman" w:hAnsi="Times New Roman" w:cs="Times New Roman"/>
          <w:color w:val="auto"/>
        </w:rPr>
      </w:pPr>
      <w:r w:rsidRPr="00107434">
        <w:rPr>
          <w:rFonts w:ascii="Times New Roman" w:hAnsi="Times New Roman" w:cs="Times New Roman"/>
          <w:color w:val="auto"/>
        </w:rPr>
        <w:t>goal pO2 &gt; 100 mmHg, SaO2 &gt; 90-93%, pCO2 35-40 mmHg.</w:t>
      </w:r>
    </w:p>
    <w:p w:rsidR="00107434" w:rsidRDefault="00107434" w:rsidP="00442EDA"/>
    <w:p w:rsidR="00107434" w:rsidRDefault="00107434" w:rsidP="00442EDA"/>
    <w:p w:rsidR="00086226" w:rsidRDefault="00086226" w:rsidP="00107434">
      <w:pPr>
        <w:pStyle w:val="Nervous1"/>
      </w:pPr>
      <w:bookmarkStart w:id="17" w:name="_Toc4283055"/>
      <w:r w:rsidRPr="00086226">
        <w:t>Minimally Invasive Hemodynamic Monitoring</w:t>
      </w:r>
      <w:bookmarkEnd w:id="17"/>
    </w:p>
    <w:p w:rsidR="00086226" w:rsidRDefault="00086226" w:rsidP="00086226">
      <w:pPr>
        <w:pStyle w:val="Nervous6"/>
      </w:pPr>
      <w:bookmarkStart w:id="18" w:name="_Toc4283056"/>
      <w:r>
        <w:t>Vigileo monitor</w:t>
      </w:r>
      <w:bookmarkEnd w:id="18"/>
    </w:p>
    <w:p w:rsidR="00086226" w:rsidRDefault="00086226" w:rsidP="00442EDA">
      <w:r>
        <w:t>- volemia monitoring in mechanically ventilated patients without arrhythmias.</w:t>
      </w:r>
    </w:p>
    <w:p w:rsidR="00086226" w:rsidRPr="00086226" w:rsidRDefault="00086226" w:rsidP="00086226">
      <w:pPr>
        <w:pStyle w:val="Default"/>
        <w:numPr>
          <w:ilvl w:val="0"/>
          <w:numId w:val="13"/>
        </w:numPr>
        <w:rPr>
          <w:rFonts w:ascii="Times New Roman" w:hAnsi="Times New Roman" w:cs="Times New Roman"/>
          <w:color w:val="auto"/>
        </w:rPr>
      </w:pPr>
      <w:r w:rsidRPr="00086226">
        <w:rPr>
          <w:rFonts w:ascii="Times New Roman" w:hAnsi="Times New Roman" w:cs="Times New Roman"/>
          <w:color w:val="auto"/>
        </w:rPr>
        <w:t>requires central line and A-line</w:t>
      </w:r>
      <w:r>
        <w:rPr>
          <w:rFonts w:ascii="Times New Roman" w:hAnsi="Times New Roman" w:cs="Times New Roman"/>
          <w:color w:val="auto"/>
        </w:rPr>
        <w:t>.</w:t>
      </w:r>
    </w:p>
    <w:p w:rsidR="00086226" w:rsidRDefault="00086226" w:rsidP="00442EDA"/>
    <w:p w:rsidR="00086226" w:rsidRDefault="00086226" w:rsidP="00442EDA">
      <w:r w:rsidRPr="00086226">
        <w:rPr>
          <w:u w:val="single"/>
        </w:rPr>
        <w:t>Goals</w:t>
      </w:r>
      <w:r>
        <w:t>:</w:t>
      </w:r>
    </w:p>
    <w:p w:rsidR="00086226" w:rsidRDefault="00086226" w:rsidP="00442EDA">
      <w:r w:rsidRPr="00086226">
        <w:rPr>
          <w:b/>
          <w:color w:val="0000FF"/>
        </w:rPr>
        <w:t>CO (cardiac output)</w:t>
      </w:r>
      <w:r>
        <w:t xml:space="preserve"> &gt; 3</w:t>
      </w:r>
    </w:p>
    <w:p w:rsidR="00086226" w:rsidRDefault="00086226" w:rsidP="00442EDA">
      <w:r w:rsidRPr="00086226">
        <w:rPr>
          <w:b/>
          <w:color w:val="0000FF"/>
        </w:rPr>
        <w:t>SV (stroke volume)</w:t>
      </w:r>
      <w:r>
        <w:t xml:space="preserve"> &gt; 70</w:t>
      </w:r>
    </w:p>
    <w:p w:rsidR="00086226" w:rsidRDefault="00086226" w:rsidP="00442EDA">
      <w:r w:rsidRPr="00086226">
        <w:rPr>
          <w:b/>
          <w:color w:val="0000FF"/>
        </w:rPr>
        <w:t>SVV (stroke volume variation)</w:t>
      </w:r>
      <w:r>
        <w:t xml:space="preserve"> &lt; 10</w:t>
      </w:r>
    </w:p>
    <w:p w:rsidR="00086226" w:rsidRDefault="00086226" w:rsidP="00086226">
      <w:pPr>
        <w:numPr>
          <w:ilvl w:val="0"/>
          <w:numId w:val="15"/>
        </w:numPr>
        <w:ind w:left="993"/>
      </w:pPr>
      <w:r>
        <w:t>intrathoracic pressure changes due to ventilation – it is reflected in systolic BP; in normovolemia that fluctuation should be &lt; 10</w:t>
      </w:r>
    </w:p>
    <w:p w:rsidR="00491FCD" w:rsidRDefault="00491FCD" w:rsidP="00491FCD"/>
    <w:p w:rsidR="00086226" w:rsidRDefault="001A1CA6" w:rsidP="001248DA">
      <w:pPr>
        <w:ind w:left="993"/>
      </w:pPr>
      <w:r>
        <w:rPr>
          <w:noProof/>
        </w:rPr>
        <w:drawing>
          <wp:inline distT="0" distB="0" distL="0" distR="0">
            <wp:extent cx="3886200" cy="29813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981325"/>
                    </a:xfrm>
                    <a:prstGeom prst="rect">
                      <a:avLst/>
                    </a:prstGeom>
                    <a:noFill/>
                    <a:ln>
                      <a:noFill/>
                    </a:ln>
                  </pic:spPr>
                </pic:pic>
              </a:graphicData>
            </a:graphic>
          </wp:inline>
        </w:drawing>
      </w:r>
    </w:p>
    <w:p w:rsidR="001248DA" w:rsidRDefault="001248DA" w:rsidP="001248DA">
      <w:pPr>
        <w:ind w:left="993"/>
      </w:pPr>
    </w:p>
    <w:p w:rsidR="001248DA" w:rsidRDefault="001A1CA6" w:rsidP="001248DA">
      <w:pPr>
        <w:ind w:left="993"/>
      </w:pPr>
      <w:r>
        <w:rPr>
          <w:noProof/>
        </w:rPr>
        <w:drawing>
          <wp:inline distT="0" distB="0" distL="0" distR="0">
            <wp:extent cx="3990975"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0975" cy="2266950"/>
                    </a:xfrm>
                    <a:prstGeom prst="rect">
                      <a:avLst/>
                    </a:prstGeom>
                    <a:noFill/>
                    <a:ln>
                      <a:noFill/>
                    </a:ln>
                  </pic:spPr>
                </pic:pic>
              </a:graphicData>
            </a:graphic>
          </wp:inline>
        </w:drawing>
      </w:r>
    </w:p>
    <w:p w:rsidR="00491FCD" w:rsidRDefault="00491FCD" w:rsidP="00491FCD"/>
    <w:p w:rsidR="00491FCD" w:rsidRDefault="001A1CA6" w:rsidP="001248DA">
      <w:pPr>
        <w:ind w:left="993"/>
      </w:pPr>
      <w:r>
        <w:rPr>
          <w:noProof/>
        </w:rPr>
        <w:drawing>
          <wp:inline distT="0" distB="0" distL="0" distR="0">
            <wp:extent cx="3933825" cy="2543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825" cy="2543175"/>
                    </a:xfrm>
                    <a:prstGeom prst="rect">
                      <a:avLst/>
                    </a:prstGeom>
                    <a:noFill/>
                    <a:ln>
                      <a:noFill/>
                    </a:ln>
                  </pic:spPr>
                </pic:pic>
              </a:graphicData>
            </a:graphic>
          </wp:inline>
        </w:drawing>
      </w:r>
    </w:p>
    <w:p w:rsidR="001248DA" w:rsidRDefault="001248DA" w:rsidP="00491FCD"/>
    <w:p w:rsidR="001248DA" w:rsidRDefault="001248DA" w:rsidP="00491FCD"/>
    <w:p w:rsidR="00723E8E" w:rsidRDefault="00723E8E" w:rsidP="00723E8E">
      <w:pPr>
        <w:pStyle w:val="Antrat"/>
      </w:pPr>
      <w:bookmarkStart w:id="19" w:name="_Toc4283057"/>
      <w:r>
        <w:t>Postoperative Pain</w:t>
      </w:r>
      <w:bookmarkEnd w:id="19"/>
    </w:p>
    <w:p w:rsidR="00723E8E" w:rsidRDefault="00723E8E" w:rsidP="00723E8E">
      <w:pPr>
        <w:numPr>
          <w:ilvl w:val="0"/>
          <w:numId w:val="15"/>
        </w:numPr>
      </w:pPr>
      <w:r w:rsidRPr="00723E8E">
        <w:rPr>
          <w:rStyle w:val="Drugname2Char"/>
        </w:rPr>
        <w:t>ketorolac</w:t>
      </w:r>
      <w:r>
        <w:t xml:space="preserve"> (</w:t>
      </w:r>
      <w:r w:rsidRPr="00723E8E">
        <w:t>Toradol</w:t>
      </w:r>
      <w:r>
        <w:t xml:space="preserve">) - </w:t>
      </w:r>
      <w:r w:rsidRPr="00723E8E">
        <w:t>safe for postoperative pain management in pediatric population - there is no association between ketorolac use and clinically or radiographically significant hemorrhage.</w:t>
      </w:r>
    </w:p>
    <w:p w:rsidR="00723E8E" w:rsidRPr="00723E8E" w:rsidRDefault="00723E8E" w:rsidP="00723E8E">
      <w:pPr>
        <w:pStyle w:val="Articlename"/>
      </w:pPr>
      <w:r w:rsidRPr="00723E8E">
        <w:t>Marlin Dustin Richardson, Nicholas O. Palmeri, Sarah A. Williams, Michelle R. Torok, Brent R. O’Neill, Michael H. Handler, and Todd C. Hankinson</w:t>
      </w:r>
      <w:r>
        <w:t xml:space="preserve"> “</w:t>
      </w:r>
      <w:r w:rsidRPr="00723E8E">
        <w:t>Routine perioperative ketorolac administration is not associated with hemorrhage in pediatric neurosurgery patients</w:t>
      </w:r>
      <w:r>
        <w:t xml:space="preserve">” </w:t>
      </w:r>
      <w:r w:rsidRPr="00723E8E">
        <w:t>Journal of Neurosurgery: Pediatrics, </w:t>
      </w:r>
      <w:r w:rsidRPr="00723E8E">
        <w:rPr>
          <w:iCs/>
        </w:rPr>
        <w:t>Jan 2016</w:t>
      </w:r>
      <w:r w:rsidRPr="00723E8E">
        <w:t> / Vol. 17 / No. 1 : Pages 107-115</w:t>
      </w:r>
    </w:p>
    <w:p w:rsidR="00723E8E" w:rsidRDefault="00494EBD" w:rsidP="00494EBD">
      <w:pPr>
        <w:numPr>
          <w:ilvl w:val="0"/>
          <w:numId w:val="15"/>
        </w:numPr>
      </w:pPr>
      <w:r>
        <w:t>avoid NSAIDs where bone fusion is needed.</w:t>
      </w:r>
    </w:p>
    <w:p w:rsidR="00723E8E" w:rsidRDefault="00723E8E" w:rsidP="00491FCD"/>
    <w:p w:rsidR="00A846AD" w:rsidRDefault="00A846AD" w:rsidP="00491FCD"/>
    <w:p w:rsidR="00A846AD" w:rsidRPr="00A846AD" w:rsidRDefault="00A846AD" w:rsidP="00A846AD">
      <w:pPr>
        <w:pStyle w:val="Antrat"/>
      </w:pPr>
      <w:bookmarkStart w:id="20" w:name="_Toc4283058"/>
      <w:r w:rsidRPr="00A846AD">
        <w:t>DVT prophylaxis</w:t>
      </w:r>
      <w:bookmarkEnd w:id="20"/>
    </w:p>
    <w:p w:rsidR="00A846AD" w:rsidRPr="00A846AD" w:rsidRDefault="00A846AD" w:rsidP="00A846AD">
      <w:pPr>
        <w:numPr>
          <w:ilvl w:val="0"/>
          <w:numId w:val="15"/>
        </w:numPr>
      </w:pPr>
      <w:r w:rsidRPr="00A846AD">
        <w:t>SCD</w:t>
      </w:r>
    </w:p>
    <w:p w:rsidR="00A846AD" w:rsidRPr="00A846AD" w:rsidRDefault="00A846AD" w:rsidP="00A846AD">
      <w:pPr>
        <w:numPr>
          <w:ilvl w:val="0"/>
          <w:numId w:val="15"/>
        </w:numPr>
      </w:pPr>
      <w:r w:rsidRPr="00A846AD">
        <w:t>prophylactic heparin (some delay until 24 hours postop or TBI)</w:t>
      </w:r>
    </w:p>
    <w:p w:rsidR="00A846AD" w:rsidRPr="00A846AD" w:rsidRDefault="00A846AD" w:rsidP="00A846AD">
      <w:pPr>
        <w:pStyle w:val="ListParagraph"/>
        <w:numPr>
          <w:ilvl w:val="0"/>
          <w:numId w:val="20"/>
        </w:numPr>
      </w:pPr>
      <w:r w:rsidRPr="00A846AD">
        <w:rPr>
          <w:rStyle w:val="Drugname2Char"/>
        </w:rPr>
        <w:t>heparin</w:t>
      </w:r>
      <w:r w:rsidRPr="00A846AD">
        <w:t xml:space="preserve"> 5000 units subQ q8h (head problems); if &lt; 60 kg use q12h</w:t>
      </w:r>
    </w:p>
    <w:p w:rsidR="00A846AD" w:rsidRPr="00A846AD" w:rsidRDefault="00A846AD" w:rsidP="00A846AD">
      <w:pPr>
        <w:pStyle w:val="ListParagraph"/>
        <w:numPr>
          <w:ilvl w:val="0"/>
          <w:numId w:val="20"/>
        </w:numPr>
      </w:pPr>
      <w:r w:rsidRPr="00A846AD">
        <w:rPr>
          <w:rStyle w:val="Drugname2Char"/>
        </w:rPr>
        <w:t>enoxaparin</w:t>
      </w:r>
      <w:r w:rsidRPr="00A846AD">
        <w:t xml:space="preserve"> 30 mg subQ q12h (sci, trauma with long bone fx) </w:t>
      </w:r>
    </w:p>
    <w:p w:rsidR="00A846AD" w:rsidRPr="00A846AD" w:rsidRDefault="00A846AD" w:rsidP="00A846AD">
      <w:pPr>
        <w:pStyle w:val="ListParagraph"/>
        <w:numPr>
          <w:ilvl w:val="0"/>
          <w:numId w:val="20"/>
        </w:numPr>
      </w:pPr>
      <w:r w:rsidRPr="00A846AD">
        <w:rPr>
          <w:rStyle w:val="Drugname2Char"/>
        </w:rPr>
        <w:t>enoxaparin</w:t>
      </w:r>
      <w:r w:rsidRPr="00A846AD">
        <w:t xml:space="preserve"> 40 mg subQ daily (ischemic stroke); if morbidly obese use 40mg q12h</w:t>
      </w:r>
    </w:p>
    <w:p w:rsidR="00A846AD" w:rsidRDefault="00A846AD" w:rsidP="00491FCD"/>
    <w:p w:rsidR="00494EBD" w:rsidRDefault="00494EBD" w:rsidP="00491FCD"/>
    <w:p w:rsidR="00001A35" w:rsidRDefault="00001A35" w:rsidP="00001A35">
      <w:pPr>
        <w:pStyle w:val="Antrat"/>
      </w:pPr>
      <w:bookmarkStart w:id="21" w:name="_Toc4283059"/>
      <w:bookmarkStart w:id="22" w:name="Postop_infection"/>
      <w:r>
        <w:t>Infection</w:t>
      </w:r>
      <w:r w:rsidR="00494EBD">
        <w:t xml:space="preserve"> Prophylaxis</w:t>
      </w:r>
      <w:bookmarkEnd w:id="21"/>
    </w:p>
    <w:bookmarkEnd w:id="22"/>
    <w:p w:rsidR="00A846AD" w:rsidRDefault="00A846AD" w:rsidP="00A846AD">
      <w:r>
        <w:t xml:space="preserve">Doses – see </w:t>
      </w:r>
      <w:hyperlink r:id="rId23" w:anchor="ANTIBIOTICS" w:history="1">
        <w:r w:rsidRPr="00A83C59">
          <w:rPr>
            <w:rStyle w:val="Hyperlink"/>
          </w:rPr>
          <w:t>p. Rx0 &gt;&gt;</w:t>
        </w:r>
      </w:hyperlink>
    </w:p>
    <w:p w:rsidR="00A846AD" w:rsidRDefault="00177A5D" w:rsidP="00491FCD">
      <w:r>
        <w:t xml:space="preserve">Intraoperative antibitotics – see </w:t>
      </w:r>
      <w:hyperlink r:id="rId24" w:anchor="ANTIBIOTICS" w:history="1">
        <w:r w:rsidRPr="00177A5D">
          <w:rPr>
            <w:rStyle w:val="Hyperlink"/>
          </w:rPr>
          <w:t>p. Op100 &gt;&gt;</w:t>
        </w:r>
      </w:hyperlink>
      <w:r>
        <w:t xml:space="preserve"> </w:t>
      </w:r>
    </w:p>
    <w:p w:rsidR="001248DA" w:rsidRDefault="0046682D" w:rsidP="00491FCD">
      <w:r>
        <w:t>Spine</w:t>
      </w:r>
      <w:r w:rsidR="00B65ECD">
        <w:t xml:space="preserve"> aspects </w:t>
      </w:r>
      <w:r w:rsidR="00BF7698">
        <w:t>–</w:t>
      </w:r>
      <w:r w:rsidR="00B65ECD">
        <w:t xml:space="preserve"> s</w:t>
      </w:r>
      <w:r w:rsidR="00C25BF2">
        <w:t xml:space="preserve">ee </w:t>
      </w:r>
      <w:hyperlink r:id="rId25" w:anchor="SSI" w:history="1">
        <w:r w:rsidR="00C25BF2" w:rsidRPr="00C25BF2">
          <w:rPr>
            <w:rStyle w:val="Hyperlink"/>
          </w:rPr>
          <w:t>p. Op220 &gt;&gt;</w:t>
        </w:r>
      </w:hyperlink>
    </w:p>
    <w:p w:rsidR="00D74522" w:rsidRDefault="00D74522" w:rsidP="00491FCD">
      <w:r>
        <w:t xml:space="preserve">Skull fractures </w:t>
      </w:r>
      <w:r w:rsidR="00FB0390">
        <w:t xml:space="preserve">(incl. triple abx) </w:t>
      </w:r>
      <w:r>
        <w:t xml:space="preserve">– see </w:t>
      </w:r>
      <w:hyperlink r:id="rId26" w:anchor="Open" w:history="1">
        <w:r w:rsidRPr="00D74522">
          <w:rPr>
            <w:rStyle w:val="Hyperlink"/>
          </w:rPr>
          <w:t>p. TrH</w:t>
        </w:r>
        <w:r>
          <w:rPr>
            <w:rStyle w:val="Hyperlink"/>
          </w:rPr>
          <w:t>5</w:t>
        </w:r>
        <w:r w:rsidRPr="00D74522">
          <w:rPr>
            <w:rStyle w:val="Hyperlink"/>
          </w:rPr>
          <w:t xml:space="preserve"> &gt;&gt;</w:t>
        </w:r>
      </w:hyperlink>
    </w:p>
    <w:p w:rsidR="00D74522" w:rsidRDefault="00D74522" w:rsidP="00491FCD"/>
    <w:p w:rsidR="00A846AD" w:rsidRDefault="00A846AD" w:rsidP="00491FCD"/>
    <w:p w:rsidR="00B65ECD" w:rsidRPr="00B65ECD" w:rsidRDefault="00B65ECD" w:rsidP="00B65ECD">
      <w:pPr>
        <w:shd w:val="clear" w:color="auto" w:fill="FFE599" w:themeFill="accent4" w:themeFillTint="66"/>
        <w:rPr>
          <w:u w:val="single"/>
        </w:rPr>
      </w:pPr>
      <w:r w:rsidRPr="00B65ECD">
        <w:rPr>
          <w:rFonts w:ascii="Tahoma" w:hAnsi="Tahoma" w:cs="Tahoma"/>
          <w:u w:val="single"/>
        </w:rPr>
        <w:t>﻿</w:t>
      </w:r>
      <w:r w:rsidRPr="00B65ECD">
        <w:rPr>
          <w:u w:val="single"/>
        </w:rPr>
        <w:t>CDC 2017 guidelines for SSI prevention. JAMA Surg</w:t>
      </w:r>
      <w:r w:rsidR="00A51D1F">
        <w:rPr>
          <w:u w:val="single"/>
        </w:rPr>
        <w:t>. Published online May 3, 2017:</w:t>
      </w:r>
    </w:p>
    <w:p w:rsidR="00B65ECD" w:rsidRDefault="00B65ECD" w:rsidP="00B65ECD"/>
    <w:p w:rsidR="00B65ECD" w:rsidRDefault="00B65ECD" w:rsidP="00B65ECD">
      <w:r>
        <w:t xml:space="preserve">Advise patients to </w:t>
      </w:r>
      <w:r w:rsidRPr="007C1096">
        <w:rPr>
          <w:b/>
          <w:color w:val="00B050"/>
        </w:rPr>
        <w:t>shower or bathe (full body) with soap (antimicrobial or nonantimicrobial) or an antiseptic agent on at least the night before</w:t>
      </w:r>
      <w:r w:rsidRPr="007C1096">
        <w:rPr>
          <w:color w:val="00B050"/>
        </w:rPr>
        <w:t xml:space="preserve"> </w:t>
      </w:r>
      <w:r>
        <w:t>the operative day. (Category IB–strong recommendation; accepted practice.)</w:t>
      </w:r>
    </w:p>
    <w:p w:rsidR="00B65ECD" w:rsidRDefault="007C1096" w:rsidP="007C1096">
      <w:pPr>
        <w:pStyle w:val="ListParagraph"/>
        <w:numPr>
          <w:ilvl w:val="0"/>
          <w:numId w:val="15"/>
        </w:numPr>
      </w:pPr>
      <w:r>
        <w:t>r</w:t>
      </w:r>
      <w:r w:rsidR="00B65ECD">
        <w:t>andomized controlled trial evidence suggested uncertain trade-offs between the benefits and harms regarding the optimal timing of the preoperative shower or bath, the total number of soap or antiseptic agent applications, or the use of chlorhexidine gluconate washcloths for the prevention of SSI.</w:t>
      </w:r>
    </w:p>
    <w:p w:rsidR="00B65ECD" w:rsidRDefault="00B65ECD" w:rsidP="00B65ECD"/>
    <w:p w:rsidR="00B65ECD" w:rsidRDefault="00B65ECD" w:rsidP="00B65ECD">
      <w:r>
        <w:t xml:space="preserve">Perform intraoperative </w:t>
      </w:r>
      <w:r w:rsidRPr="007C1096">
        <w:rPr>
          <w:b/>
          <w:color w:val="00B050"/>
        </w:rPr>
        <w:t>skin preparation with an</w:t>
      </w:r>
      <w:r w:rsidRPr="007C1096">
        <w:rPr>
          <w:color w:val="00B050"/>
        </w:rPr>
        <w:t xml:space="preserve"> </w:t>
      </w:r>
      <w:r w:rsidRPr="007C1096">
        <w:rPr>
          <w:b/>
          <w:color w:val="00B050"/>
        </w:rPr>
        <w:t>alcohol-based antiseptic agent</w:t>
      </w:r>
      <w:r w:rsidRPr="007C1096">
        <w:rPr>
          <w:color w:val="00B050"/>
        </w:rPr>
        <w:t xml:space="preserve"> </w:t>
      </w:r>
      <w:r>
        <w:t>unless contraindicated. (Category IA–strong recommendation; high-quality evidence.)</w:t>
      </w:r>
    </w:p>
    <w:p w:rsidR="00B65ECD" w:rsidRDefault="00A10161" w:rsidP="00A10161">
      <w:pPr>
        <w:pStyle w:val="ListParagraph"/>
        <w:numPr>
          <w:ilvl w:val="0"/>
          <w:numId w:val="15"/>
        </w:numPr>
      </w:pPr>
      <w:r>
        <w:t>a</w:t>
      </w:r>
      <w:r w:rsidR="00B65ECD">
        <w:t xml:space="preserve">pplication of a </w:t>
      </w:r>
      <w:r w:rsidR="00B65ECD" w:rsidRPr="007C1096">
        <w:rPr>
          <w:rStyle w:val="Blue"/>
          <w:b/>
        </w:rPr>
        <w:t>microbial sealant</w:t>
      </w:r>
      <w:r w:rsidR="00B65ECD">
        <w:t xml:space="preserve"> immediately after intraoperative skin preparation is not necessary for the prevention of SSI. (Category II–weak recommendation; low-quality evidence suggesting a trade-off between clinical benefits and harms.)</w:t>
      </w:r>
    </w:p>
    <w:p w:rsidR="00B65ECD" w:rsidRDefault="00A10161" w:rsidP="00A10161">
      <w:pPr>
        <w:pStyle w:val="ListParagraph"/>
        <w:numPr>
          <w:ilvl w:val="0"/>
          <w:numId w:val="15"/>
        </w:numPr>
      </w:pPr>
      <w:r>
        <w:t>t</w:t>
      </w:r>
      <w:r w:rsidR="00B65ECD">
        <w:t xml:space="preserve">he use of </w:t>
      </w:r>
      <w:r w:rsidR="00B65ECD" w:rsidRPr="007C1096">
        <w:rPr>
          <w:rStyle w:val="Blue"/>
          <w:b/>
        </w:rPr>
        <w:t>plastic adhesive drapes</w:t>
      </w:r>
      <w:r w:rsidR="00B65ECD">
        <w:t xml:space="preserve"> with or without antimicrobial properties is not necessary for the prevention of SSI. (Category II–weak recommendation; high to moderate–quality evidence suggesting a trade-off between clinical benefits and harms.)</w:t>
      </w:r>
    </w:p>
    <w:p w:rsidR="00B65ECD" w:rsidRDefault="00A10161" w:rsidP="00A10161">
      <w:pPr>
        <w:pStyle w:val="ListParagraph"/>
        <w:numPr>
          <w:ilvl w:val="0"/>
          <w:numId w:val="15"/>
        </w:numPr>
      </w:pPr>
      <w:r>
        <w:t>r</w:t>
      </w:r>
      <w:r w:rsidR="00B65ECD">
        <w:t xml:space="preserve">andomized controlled trial evidence was insufficient to evaluate the trade-offs between the benefits and harms of </w:t>
      </w:r>
      <w:r w:rsidR="00B65ECD" w:rsidRPr="008C348C">
        <w:rPr>
          <w:rStyle w:val="Blue"/>
          <w:b/>
        </w:rPr>
        <w:t>repeat application of antiseptic agents to the patient’s skin immediately before closing the surgical inci</w:t>
      </w:r>
      <w:r w:rsidR="008C348C" w:rsidRPr="008C348C">
        <w:rPr>
          <w:rStyle w:val="Blue"/>
          <w:b/>
        </w:rPr>
        <w:t>sion</w:t>
      </w:r>
      <w:r w:rsidR="008C348C">
        <w:t xml:space="preserve"> for the prevention of SSI.</w:t>
      </w:r>
    </w:p>
    <w:p w:rsidR="008C348C" w:rsidRDefault="008C348C" w:rsidP="008C348C">
      <w:pPr>
        <w:pStyle w:val="ListParagraph"/>
        <w:numPr>
          <w:ilvl w:val="0"/>
          <w:numId w:val="15"/>
        </w:numPr>
      </w:pPr>
      <w:r>
        <w:t xml:space="preserve">randomized controlled trial evidence suggested uncertain trade-offs between the benefits and harms regarding </w:t>
      </w:r>
      <w:r w:rsidRPr="008C348C">
        <w:rPr>
          <w:rStyle w:val="Blue"/>
          <w:b/>
        </w:rPr>
        <w:t>antimicrobial dressings applied to surgical incisions after primary closure in the operating room</w:t>
      </w:r>
      <w:r>
        <w:t xml:space="preserve"> for the prevention of SSI.</w:t>
      </w:r>
    </w:p>
    <w:p w:rsidR="00B65ECD" w:rsidRDefault="00B65ECD" w:rsidP="00B65ECD"/>
    <w:p w:rsidR="00B65ECD" w:rsidRDefault="00B65ECD" w:rsidP="00B65ECD">
      <w:r>
        <w:t xml:space="preserve">The search did not identify randomized controlled trials that evaluated </w:t>
      </w:r>
      <w:r w:rsidRPr="00A10161">
        <w:rPr>
          <w:rStyle w:val="Blue"/>
          <w:b/>
        </w:rPr>
        <w:t>soaking prosthetic devices in antiseptic solutions</w:t>
      </w:r>
      <w:r>
        <w:t xml:space="preserve"> before implantation for the prevention of SSI.</w:t>
      </w:r>
    </w:p>
    <w:p w:rsidR="00B65ECD" w:rsidRDefault="00B65ECD" w:rsidP="00B65ECD"/>
    <w:p w:rsidR="00B65ECD" w:rsidRDefault="00B65ECD" w:rsidP="00B65ECD">
      <w:r w:rsidRPr="00A10161">
        <w:rPr>
          <w:rStyle w:val="Blue"/>
          <w:b/>
        </w:rPr>
        <w:t>Antimicrobial</w:t>
      </w:r>
      <w:r>
        <w:t xml:space="preserve"> </w:t>
      </w:r>
      <w:r w:rsidRPr="00A10161">
        <w:rPr>
          <w:rStyle w:val="Blue"/>
          <w:b/>
        </w:rPr>
        <w:t>prophylaxis</w:t>
      </w:r>
      <w:r>
        <w:t xml:space="preserve"> should be administered </w:t>
      </w:r>
      <w:r w:rsidRPr="00E33C8E">
        <w:rPr>
          <w:i/>
        </w:rPr>
        <w:t>only when indicated</w:t>
      </w:r>
      <w:r>
        <w:t xml:space="preserve"> based on published clinical practice guidelines and timed such that a </w:t>
      </w:r>
      <w:r w:rsidRPr="00E33C8E">
        <w:rPr>
          <w:i/>
        </w:rPr>
        <w:t>bactericidal concentration</w:t>
      </w:r>
      <w:r>
        <w:t xml:space="preserve"> of the agents is established in the serum and tissues when the incision is made.</w:t>
      </w:r>
      <w:r w:rsidR="00A10161">
        <w:t xml:space="preserve"> </w:t>
      </w:r>
      <w:r>
        <w:t>(Category IB–strong recommendation; accepted practice.)</w:t>
      </w:r>
    </w:p>
    <w:p w:rsidR="00B65ECD" w:rsidRDefault="00A10161" w:rsidP="00A10161">
      <w:pPr>
        <w:pStyle w:val="ListParagraph"/>
        <w:numPr>
          <w:ilvl w:val="0"/>
          <w:numId w:val="15"/>
        </w:numPr>
      </w:pPr>
      <w:r>
        <w:t>n</w:t>
      </w:r>
      <w:r w:rsidR="00B65ECD">
        <w:t xml:space="preserve">o further refinement of </w:t>
      </w:r>
      <w:r w:rsidR="00B65ECD" w:rsidRPr="00E33C8E">
        <w:rPr>
          <w:i/>
        </w:rPr>
        <w:t>timing</w:t>
      </w:r>
      <w:r w:rsidR="00B65ECD">
        <w:t xml:space="preserve"> can be made for preoperative antimicrobial agents based on clinical outcomes. (No recommendation/unresolved issue.)</w:t>
      </w:r>
    </w:p>
    <w:p w:rsidR="00B65ECD" w:rsidRDefault="00B65ECD" w:rsidP="00A10161">
      <w:pPr>
        <w:pStyle w:val="ListParagraph"/>
        <w:numPr>
          <w:ilvl w:val="0"/>
          <w:numId w:val="15"/>
        </w:numPr>
      </w:pPr>
      <w:r>
        <w:t xml:space="preserve">literature search did not identify randomized controlled trials that evaluated the benefits and harms of </w:t>
      </w:r>
      <w:r w:rsidRPr="00E33C8E">
        <w:rPr>
          <w:i/>
        </w:rPr>
        <w:t>weight-adjusted</w:t>
      </w:r>
      <w:r>
        <w:t xml:space="preserve"> parenteral antimicrobial prophylaxis dosing and its effect on the risk of SSI.</w:t>
      </w:r>
    </w:p>
    <w:p w:rsidR="00A10161" w:rsidRDefault="00B65ECD" w:rsidP="003E7F1A">
      <w:pPr>
        <w:pStyle w:val="ListParagraph"/>
        <w:numPr>
          <w:ilvl w:val="0"/>
          <w:numId w:val="15"/>
        </w:numPr>
      </w:pPr>
      <w:r>
        <w:t xml:space="preserve">search did not identify sufficient randomized controlled trial evidence to evaluate the benefits and harms of </w:t>
      </w:r>
      <w:r w:rsidRPr="00E33C8E">
        <w:rPr>
          <w:i/>
        </w:rPr>
        <w:t>intraoperative redosing</w:t>
      </w:r>
      <w:r>
        <w:t xml:space="preserve"> of parenteral prophylactic antimicrobial agents for the prevention of SSI.</w:t>
      </w:r>
    </w:p>
    <w:p w:rsidR="00B65ECD" w:rsidRDefault="00A10161" w:rsidP="003E7F1A">
      <w:pPr>
        <w:pStyle w:val="ListParagraph"/>
        <w:numPr>
          <w:ilvl w:val="0"/>
          <w:numId w:val="15"/>
        </w:numPr>
      </w:pPr>
      <w:r>
        <w:t>f</w:t>
      </w:r>
      <w:r w:rsidR="00B65ECD">
        <w:t xml:space="preserve">or </w:t>
      </w:r>
      <w:r w:rsidR="00B65ECD" w:rsidRPr="00A10161">
        <w:rPr>
          <w:b/>
          <w:i/>
        </w:rPr>
        <w:t>clean and clean-contaminated procedures</w:t>
      </w:r>
      <w:r w:rsidR="00B65ECD">
        <w:t xml:space="preserve">, </w:t>
      </w:r>
      <w:r w:rsidR="00B65ECD" w:rsidRPr="00A10161">
        <w:rPr>
          <w:rStyle w:val="Red"/>
        </w:rPr>
        <w:t>additional prophylactic antimicrobial agent doses</w:t>
      </w:r>
      <w:r w:rsidR="00B65ECD">
        <w:t xml:space="preserve"> should not be administered after the surgical incision is closed in the operating room, even in the presence of a drain.</w:t>
      </w:r>
      <w:r>
        <w:t xml:space="preserve"> </w:t>
      </w:r>
      <w:r w:rsidR="00B65ECD">
        <w:t>(Category IA–strong recommendation; high-quality evidence.)</w:t>
      </w:r>
    </w:p>
    <w:p w:rsidR="00B65ECD" w:rsidRDefault="00B65ECD" w:rsidP="00B65ECD"/>
    <w:p w:rsidR="00B65ECD" w:rsidRDefault="00B65ECD" w:rsidP="00B65ECD">
      <w:r>
        <w:t xml:space="preserve">Consider </w:t>
      </w:r>
      <w:r w:rsidRPr="00A10161">
        <w:rPr>
          <w:b/>
          <w:color w:val="00B050"/>
        </w:rPr>
        <w:t>intraoperative irrigation of deep or subcutaneous tissues with aqueous iodophor solution</w:t>
      </w:r>
      <w:r w:rsidRPr="00A10161">
        <w:rPr>
          <w:color w:val="00B050"/>
        </w:rPr>
        <w:t xml:space="preserve"> </w:t>
      </w:r>
      <w:r>
        <w:t>for the prevention of SSI. Intraperitoneal lavage with aqueous iodophor solution in contaminated or dirty abdominal procedures is not necessary. (Category II–weak recommendation; moderate-quality evidence suggesting a trade-off between clinical benefits and harms.)</w:t>
      </w:r>
    </w:p>
    <w:p w:rsidR="00B65ECD" w:rsidRDefault="005409A1" w:rsidP="005409A1">
      <w:pPr>
        <w:pStyle w:val="ListParagraph"/>
        <w:numPr>
          <w:ilvl w:val="0"/>
          <w:numId w:val="15"/>
        </w:numPr>
      </w:pPr>
      <w:r>
        <w:t>d</w:t>
      </w:r>
      <w:r w:rsidR="00B65ECD">
        <w:t xml:space="preserve">o not apply </w:t>
      </w:r>
      <w:r w:rsidR="00B65ECD" w:rsidRPr="005409A1">
        <w:rPr>
          <w:rStyle w:val="Red"/>
        </w:rPr>
        <w:t>topical antimicrobial agents</w:t>
      </w:r>
      <w:r w:rsidR="00B65ECD">
        <w:t xml:space="preserve"> (i</w:t>
      </w:r>
      <w:r>
        <w:t>.</w:t>
      </w:r>
      <w:r w:rsidR="00B65ECD">
        <w:t>e</w:t>
      </w:r>
      <w:r>
        <w:t>.</w:t>
      </w:r>
      <w:r w:rsidR="00B65ECD">
        <w:t xml:space="preserve"> ointments, solutions, or powders) to the surgical incision for the prevention of SSI. (Category IB–strong recommendation; low-quality evidence.)</w:t>
      </w:r>
    </w:p>
    <w:p w:rsidR="00B65ECD" w:rsidRDefault="005409A1" w:rsidP="005409A1">
      <w:pPr>
        <w:pStyle w:val="ListParagraph"/>
        <w:numPr>
          <w:ilvl w:val="0"/>
          <w:numId w:val="15"/>
        </w:numPr>
      </w:pPr>
      <w:r>
        <w:t>r</w:t>
      </w:r>
      <w:r w:rsidR="00B65ECD">
        <w:t xml:space="preserve">andomized controlled trial evidence suggested uncertain trade-offs between the benefits and harms regarding </w:t>
      </w:r>
      <w:r w:rsidR="00B65ECD" w:rsidRPr="005409A1">
        <w:rPr>
          <w:rStyle w:val="Blue"/>
        </w:rPr>
        <w:t>intraoperative antimicrobial irrigation</w:t>
      </w:r>
      <w:r w:rsidR="00B65ECD">
        <w:t xml:space="preserve"> (eg, intra-abdominal, deep, or subcutaneous tissues) for the prevention of SSI.</w:t>
      </w:r>
    </w:p>
    <w:p w:rsidR="00B65ECD" w:rsidRDefault="00B65ECD" w:rsidP="00B65ECD"/>
    <w:p w:rsidR="00B65ECD" w:rsidRDefault="00B65ECD" w:rsidP="00B65ECD">
      <w:r>
        <w:t xml:space="preserve">During surgery, </w:t>
      </w:r>
      <w:r w:rsidRPr="005409A1">
        <w:rPr>
          <w:b/>
          <w:color w:val="00B050"/>
        </w:rPr>
        <w:t>glycemic control</w:t>
      </w:r>
      <w:r w:rsidRPr="005409A1">
        <w:rPr>
          <w:color w:val="00B050"/>
        </w:rPr>
        <w:t xml:space="preserve"> </w:t>
      </w:r>
      <w:r>
        <w:t xml:space="preserve">should be implemented </w:t>
      </w:r>
      <w:r w:rsidR="005409A1">
        <w:t>-</w:t>
      </w:r>
      <w:r>
        <w:t xml:space="preserve"> target levels </w:t>
      </w:r>
      <w:r w:rsidR="005409A1">
        <w:t xml:space="preserve">&lt; 200 mg/dL in all patients, </w:t>
      </w:r>
      <w:r>
        <w:t>with and without diabetes. (Category IA–strong recommendation; high to moderate–quality evidence.)</w:t>
      </w:r>
    </w:p>
    <w:p w:rsidR="00B65ECD" w:rsidRDefault="00B65ECD" w:rsidP="005409A1">
      <w:pPr>
        <w:pStyle w:val="ListParagraph"/>
        <w:numPr>
          <w:ilvl w:val="0"/>
          <w:numId w:val="15"/>
        </w:numPr>
      </w:pPr>
      <w:r>
        <w:t xml:space="preserve">search did not identify randomized controlled trials that evaluated the </w:t>
      </w:r>
      <w:r w:rsidRPr="005409A1">
        <w:rPr>
          <w:rStyle w:val="Blue"/>
        </w:rPr>
        <w:t>optimal hemoglobin A1C target levels</w:t>
      </w:r>
      <w:r>
        <w:t xml:space="preserve"> for the prevention of SSI in patients with and without diabetes. </w:t>
      </w:r>
    </w:p>
    <w:p w:rsidR="00B65ECD" w:rsidRDefault="00B65ECD" w:rsidP="00B65ECD"/>
    <w:p w:rsidR="00B65ECD" w:rsidRDefault="00B65ECD" w:rsidP="00B65ECD">
      <w:r>
        <w:t xml:space="preserve">Maintain perioperative </w:t>
      </w:r>
      <w:r w:rsidRPr="005409A1">
        <w:rPr>
          <w:b/>
          <w:color w:val="00B050"/>
        </w:rPr>
        <w:t>normothermia</w:t>
      </w:r>
      <w:r>
        <w:t>. (Category IA–strong recommendation; high to moderate–quality evidence.)</w:t>
      </w:r>
    </w:p>
    <w:p w:rsidR="00B65ECD" w:rsidRDefault="00B65ECD" w:rsidP="00B65ECD"/>
    <w:p w:rsidR="00B65ECD" w:rsidRDefault="00B65ECD" w:rsidP="00B65ECD">
      <w:r w:rsidRPr="002F1DF2">
        <w:rPr>
          <w:b/>
          <w:color w:val="00B050"/>
        </w:rPr>
        <w:t>Increased fraction of inspired oxygen</w:t>
      </w:r>
      <w:r>
        <w:t xml:space="preserve"> should be administered </w:t>
      </w:r>
      <w:r w:rsidRPr="002F1DF2">
        <w:rPr>
          <w:b/>
          <w:i/>
        </w:rPr>
        <w:t>during surgery and after extubation in the immediate postoperative period</w:t>
      </w:r>
      <w:r>
        <w:t xml:space="preserve"> for patients with normal pulmonary function undergoing general anesthesia with endotracheal intubation.</w:t>
      </w:r>
    </w:p>
    <w:p w:rsidR="002F1DF2" w:rsidRDefault="002F1DF2" w:rsidP="003E7F1A">
      <w:pPr>
        <w:pStyle w:val="ListParagraph"/>
        <w:numPr>
          <w:ilvl w:val="0"/>
          <w:numId w:val="15"/>
        </w:numPr>
      </w:pPr>
      <w:r>
        <w:t>r</w:t>
      </w:r>
      <w:r w:rsidR="00B65ECD">
        <w:t>andomized controlled trial evidence suggested uncertain trade-offs between the benefits and harms regarding the administration of increased fraction of inspired oxygen (Fi</w:t>
      </w:r>
      <w:r>
        <w:t>O</w:t>
      </w:r>
      <w:r w:rsidR="00B65ECD">
        <w:t xml:space="preserve">2) via endotracheal intubation </w:t>
      </w:r>
      <w:r w:rsidR="00B65ECD" w:rsidRPr="002F1DF2">
        <w:rPr>
          <w:rStyle w:val="Blue"/>
        </w:rPr>
        <w:t>during only the intraoperative period</w:t>
      </w:r>
      <w:r w:rsidR="00B65ECD">
        <w:t xml:space="preserve"> in patients with normal pulmonary function undergoing general anesthesia for the prevention of SSI.</w:t>
      </w:r>
    </w:p>
    <w:p w:rsidR="002F1DF2" w:rsidRDefault="002F1DF2" w:rsidP="003E7F1A">
      <w:pPr>
        <w:pStyle w:val="ListParagraph"/>
        <w:numPr>
          <w:ilvl w:val="0"/>
          <w:numId w:val="15"/>
        </w:numPr>
      </w:pPr>
      <w:r>
        <w:t>t</w:t>
      </w:r>
      <w:r w:rsidR="00B65ECD">
        <w:t>o optimize tissue oxygen delivery, maintain perioperative normothermia and adequate volume replacement. (Category IA–strong recommenda</w:t>
      </w:r>
      <w:r>
        <w:t>tion; moderate-quality evidence</w:t>
      </w:r>
      <w:r w:rsidR="00B65ECD">
        <w:t>)</w:t>
      </w:r>
      <w:r>
        <w:t>.</w:t>
      </w:r>
    </w:p>
    <w:p w:rsidR="00B65ECD" w:rsidRDefault="002F1DF2" w:rsidP="003E7F1A">
      <w:pPr>
        <w:pStyle w:val="ListParagraph"/>
        <w:numPr>
          <w:ilvl w:val="0"/>
          <w:numId w:val="15"/>
        </w:numPr>
      </w:pPr>
      <w:r>
        <w:t>r</w:t>
      </w:r>
      <w:r w:rsidR="00B65ECD">
        <w:t xml:space="preserve">andomized controlled trial evidence suggested uncertain trade-offs between the benefits and harms regarding the administration of </w:t>
      </w:r>
      <w:r w:rsidR="00B65ECD" w:rsidRPr="002F1DF2">
        <w:rPr>
          <w:rStyle w:val="Blue"/>
        </w:rPr>
        <w:t>increased </w:t>
      </w:r>
      <w:r w:rsidR="008C348C" w:rsidRPr="002F1DF2">
        <w:rPr>
          <w:rStyle w:val="Blue"/>
        </w:rPr>
        <w:t>Fi</w:t>
      </w:r>
      <w:r w:rsidR="008C348C">
        <w:rPr>
          <w:rStyle w:val="Blue"/>
        </w:rPr>
        <w:t>O</w:t>
      </w:r>
      <w:r w:rsidR="008C348C" w:rsidRPr="002F1DF2">
        <w:rPr>
          <w:rStyle w:val="Blue"/>
          <w:vertAlign w:val="subscript"/>
        </w:rPr>
        <w:t>2</w:t>
      </w:r>
      <w:r w:rsidR="008C348C">
        <w:t> </w:t>
      </w:r>
      <w:r w:rsidR="00B65ECD" w:rsidRPr="002F1DF2">
        <w:rPr>
          <w:rStyle w:val="Blue"/>
        </w:rPr>
        <w:t>via face mask during the perioperative period</w:t>
      </w:r>
      <w:r w:rsidR="00B65ECD">
        <w:t xml:space="preserve"> in patients with normal pulmonary function undergoing general anesthesia without endotracheal intubation or neuraxial anesthesia (ie, spinal, epidural, or local nerve blocks) for the prevention of SSI. </w:t>
      </w:r>
    </w:p>
    <w:p w:rsidR="002F1DF2" w:rsidRDefault="002F1DF2" w:rsidP="003E7F1A">
      <w:pPr>
        <w:pStyle w:val="ListParagraph"/>
        <w:numPr>
          <w:ilvl w:val="0"/>
          <w:numId w:val="15"/>
        </w:numPr>
      </w:pPr>
      <w:r>
        <w:t>r</w:t>
      </w:r>
      <w:r w:rsidR="00B65ECD">
        <w:t xml:space="preserve">andomized controlled trial evidence suggested uncertain trade-offs between the benefits and harms regarding the administration of </w:t>
      </w:r>
      <w:r w:rsidR="00B65ECD" w:rsidRPr="002F1DF2">
        <w:rPr>
          <w:rStyle w:val="Blue"/>
        </w:rPr>
        <w:t>increased </w:t>
      </w:r>
      <w:r w:rsidRPr="002F1DF2">
        <w:rPr>
          <w:rStyle w:val="Blue"/>
        </w:rPr>
        <w:t>Fi</w:t>
      </w:r>
      <w:r>
        <w:rPr>
          <w:rStyle w:val="Blue"/>
        </w:rPr>
        <w:t>O</w:t>
      </w:r>
      <w:r w:rsidRPr="002F1DF2">
        <w:rPr>
          <w:rStyle w:val="Blue"/>
          <w:vertAlign w:val="subscript"/>
        </w:rPr>
        <w:t>2</w:t>
      </w:r>
      <w:r>
        <w:t> </w:t>
      </w:r>
      <w:r w:rsidR="00B65ECD" w:rsidRPr="002F1DF2">
        <w:rPr>
          <w:rStyle w:val="Blue"/>
        </w:rPr>
        <w:t>via face mask or nasal cannula during only the postoperative period</w:t>
      </w:r>
      <w:r w:rsidR="00B65ECD">
        <w:t xml:space="preserve"> in patients with normal pulmonary function for the prevention of SSI. (No r</w:t>
      </w:r>
      <w:r>
        <w:t>ecommendation/unresolved issue).</w:t>
      </w:r>
    </w:p>
    <w:p w:rsidR="00B65ECD" w:rsidRDefault="002F1DF2" w:rsidP="003E7F1A">
      <w:pPr>
        <w:pStyle w:val="ListParagraph"/>
        <w:numPr>
          <w:ilvl w:val="0"/>
          <w:numId w:val="15"/>
        </w:numPr>
      </w:pPr>
      <w:r>
        <w:t>t</w:t>
      </w:r>
      <w:r w:rsidR="00B65ECD">
        <w:t xml:space="preserve">he search did not identify randomized controlled trials that evaluated the </w:t>
      </w:r>
      <w:r w:rsidR="00B65ECD" w:rsidRPr="002F1DF2">
        <w:rPr>
          <w:rStyle w:val="Blue"/>
        </w:rPr>
        <w:t>optimal target level, duration, and delivery method of Fi</w:t>
      </w:r>
      <w:r>
        <w:rPr>
          <w:rStyle w:val="Blue"/>
        </w:rPr>
        <w:t>O</w:t>
      </w:r>
      <w:r w:rsidR="00B65ECD" w:rsidRPr="002F1DF2">
        <w:rPr>
          <w:rStyle w:val="Blue"/>
          <w:vertAlign w:val="subscript"/>
        </w:rPr>
        <w:t>2</w:t>
      </w:r>
      <w:r w:rsidR="00B65ECD">
        <w:t> for the prevention of SSI. </w:t>
      </w:r>
    </w:p>
    <w:p w:rsidR="00B65ECD" w:rsidRDefault="00B65ECD" w:rsidP="00B65ECD"/>
    <w:p w:rsidR="00B65ECD" w:rsidRDefault="00B65ECD" w:rsidP="00B65ECD">
      <w:r w:rsidRPr="008C348C">
        <w:rPr>
          <w:b/>
          <w:color w:val="00B050"/>
        </w:rPr>
        <w:t>Do not withhold transfusion of necessary blood products</w:t>
      </w:r>
      <w:r w:rsidRPr="008C348C">
        <w:rPr>
          <w:color w:val="00B050"/>
        </w:rPr>
        <w:t xml:space="preserve"> </w:t>
      </w:r>
      <w:r>
        <w:t>from surgical patients as a means to prevent SSI. (Category IB–strong re</w:t>
      </w:r>
      <w:r w:rsidR="003A667E">
        <w:t>commendation; accepted practice</w:t>
      </w:r>
      <w:r>
        <w:t>)</w:t>
      </w:r>
      <w:r w:rsidR="008C348C">
        <w:t>.</w:t>
      </w:r>
    </w:p>
    <w:p w:rsidR="00B65ECD" w:rsidRDefault="00B65ECD" w:rsidP="00B65ECD"/>
    <w:p w:rsidR="00B65ECD" w:rsidRDefault="00B65ECD" w:rsidP="00B65ECD">
      <w:r w:rsidRPr="008C348C">
        <w:rPr>
          <w:rStyle w:val="Blue"/>
        </w:rPr>
        <w:t>Application of autologous platelet-rich plasma</w:t>
      </w:r>
      <w:r>
        <w:t xml:space="preserve"> is not necessary for the prevention of SSI. (</w:t>
      </w:r>
      <w:r w:rsidR="003A667E">
        <w:t>Category II–weak recommendation</w:t>
      </w:r>
      <w:r>
        <w:t>)</w:t>
      </w:r>
      <w:r w:rsidR="008C348C">
        <w:t>.</w:t>
      </w:r>
    </w:p>
    <w:p w:rsidR="00B65ECD" w:rsidRDefault="00B65ECD" w:rsidP="00B65ECD"/>
    <w:p w:rsidR="00B65ECD" w:rsidRDefault="00B65ECD" w:rsidP="00B65ECD">
      <w:r>
        <w:t xml:space="preserve">Consider the use of </w:t>
      </w:r>
      <w:r w:rsidRPr="008C348C">
        <w:rPr>
          <w:b/>
          <w:color w:val="00B050"/>
        </w:rPr>
        <w:t>triclosan-coated sutures</w:t>
      </w:r>
      <w:r w:rsidRPr="008C348C">
        <w:rPr>
          <w:color w:val="00B050"/>
        </w:rPr>
        <w:t xml:space="preserve"> </w:t>
      </w:r>
      <w:r>
        <w:t>for the prevention of SSI. (</w:t>
      </w:r>
      <w:r w:rsidR="003A667E">
        <w:t>Category II–weak recommendation</w:t>
      </w:r>
      <w:r>
        <w:t>)</w:t>
      </w:r>
      <w:r w:rsidR="008C348C">
        <w:t>.</w:t>
      </w:r>
    </w:p>
    <w:p w:rsidR="00B65ECD" w:rsidRDefault="00B65ECD" w:rsidP="00B65ECD"/>
    <w:p w:rsidR="00B65ECD" w:rsidRDefault="00B65ECD" w:rsidP="00B65ECD">
      <w:r>
        <w:t xml:space="preserve">Available evidence suggested uncertain trade-offs between the benefits and harms of </w:t>
      </w:r>
      <w:r w:rsidRPr="008C348C">
        <w:rPr>
          <w:rStyle w:val="Blue"/>
        </w:rPr>
        <w:t>systemic corticosteroid or other immunosuppressive therapies</w:t>
      </w:r>
      <w:r>
        <w:t xml:space="preserve"> on the risk of SSI in </w:t>
      </w:r>
      <w:r w:rsidRPr="008C348C">
        <w:rPr>
          <w:b/>
          <w:i/>
        </w:rPr>
        <w:t>prosthetic joint arthroplasty</w:t>
      </w:r>
      <w:r>
        <w:t>. </w:t>
      </w:r>
    </w:p>
    <w:p w:rsidR="00B65ECD" w:rsidRDefault="00B65ECD" w:rsidP="00B65ECD"/>
    <w:p w:rsidR="00B65ECD" w:rsidRDefault="00B65ECD" w:rsidP="00B65ECD"/>
    <w:p w:rsidR="001A1CA6" w:rsidRDefault="001A1CA6" w:rsidP="00491FCD"/>
    <w:p w:rsidR="001A1CA6" w:rsidRDefault="001A1CA6" w:rsidP="00491FCD"/>
    <w:p w:rsidR="00950829" w:rsidRPr="00B806B3" w:rsidRDefault="00950829" w:rsidP="00950829">
      <w:pPr>
        <w:pBdr>
          <w:bottom w:val="single" w:sz="4" w:space="1" w:color="auto"/>
        </w:pBdr>
        <w:ind w:right="57"/>
        <w:rPr>
          <w:sz w:val="20"/>
        </w:rPr>
      </w:pPr>
    </w:p>
    <w:p w:rsidR="00950829" w:rsidRDefault="00B61CF0" w:rsidP="00950829">
      <w:pPr>
        <w:jc w:val="right"/>
        <w:rPr>
          <w:rFonts w:ascii="Arial Black" w:hAnsi="Arial Black" w:cs="Arial"/>
          <w:color w:val="D68F00"/>
          <w:spacing w:val="10"/>
          <w:sz w:val="20"/>
        </w:rPr>
      </w:pPr>
      <w:hyperlink r:id="rId27" w:tgtFrame="_blank" w:history="1">
        <w:r w:rsidR="00950829" w:rsidRPr="008810E6">
          <w:rPr>
            <w:rStyle w:val="Hyperlink"/>
            <w:rFonts w:ascii="Arial Black" w:hAnsi="Arial Black" w:cs="Arial"/>
            <w:color w:val="D68F00"/>
            <w:spacing w:val="10"/>
            <w:sz w:val="20"/>
          </w:rPr>
          <w:t>Viktor’s Notes</w:t>
        </w:r>
        <w:r w:rsidR="00950829" w:rsidRPr="005D7603">
          <w:rPr>
            <w:rStyle w:val="Hyperlink"/>
            <w:rFonts w:ascii="Lucida Sans Unicode" w:hAnsi="Lucida Sans Unicode" w:cs="Lucida Sans Unicode"/>
            <w:color w:val="CC8800"/>
            <w:spacing w:val="10"/>
            <w:sz w:val="20"/>
          </w:rPr>
          <w:t>℠</w:t>
        </w:r>
        <w:r w:rsidR="00950829" w:rsidRPr="003213FF">
          <w:rPr>
            <w:rStyle w:val="Hyperlink"/>
            <w:rFonts w:ascii="Arial Black" w:hAnsi="Arial Black" w:cs="Arial"/>
            <w:color w:val="557CF9"/>
            <w:spacing w:val="10"/>
            <w:sz w:val="28"/>
            <w:szCs w:val="28"/>
          </w:rPr>
          <w:t xml:space="preserve"> </w:t>
        </w:r>
        <w:r w:rsidR="00950829" w:rsidRPr="008810E6">
          <w:rPr>
            <w:rStyle w:val="Hyperlink"/>
            <w:rFonts w:ascii="Arial Black" w:hAnsi="Arial Black" w:cs="Arial"/>
            <w:color w:val="557CF9"/>
            <w:spacing w:val="10"/>
            <w:sz w:val="20"/>
          </w:rPr>
          <w:t>for the Neurosurgery Resident</w:t>
        </w:r>
      </w:hyperlink>
    </w:p>
    <w:p w:rsidR="00950829" w:rsidRPr="00F34741" w:rsidRDefault="00B61CF0" w:rsidP="00950829">
      <w:pPr>
        <w:jc w:val="right"/>
        <w:rPr>
          <w:rFonts w:ascii="Arial" w:hAnsi="Arial" w:cs="Arial"/>
          <w:color w:val="000000"/>
          <w:spacing w:val="14"/>
          <w:sz w:val="20"/>
        </w:rPr>
      </w:pPr>
      <w:hyperlink r:id="rId28" w:tgtFrame="_blank" w:history="1">
        <w:r w:rsidR="00950829" w:rsidRPr="007428BB">
          <w:rPr>
            <w:rStyle w:val="Hyperlink"/>
            <w:rFonts w:ascii="Arial" w:hAnsi="Arial" w:cs="Arial"/>
            <w:color w:val="000000"/>
            <w:spacing w:val="14"/>
            <w:sz w:val="20"/>
          </w:rPr>
          <w:t>Please visit website at www.NeurosurgeryResident.net</w:t>
        </w:r>
      </w:hyperlink>
    </w:p>
    <w:p w:rsidR="00950829" w:rsidRPr="00273F8C" w:rsidRDefault="00950829" w:rsidP="00950829"/>
    <w:bookmarkEnd w:id="0"/>
    <w:p w:rsidR="0052098B" w:rsidRPr="00F34741" w:rsidRDefault="0052098B" w:rsidP="00950829">
      <w:pPr>
        <w:rPr>
          <w:rFonts w:ascii="Arial" w:hAnsi="Arial" w:cs="Arial"/>
          <w:color w:val="000000"/>
          <w:spacing w:val="14"/>
          <w:sz w:val="20"/>
        </w:rPr>
      </w:pPr>
    </w:p>
    <w:sectPr w:rsidR="0052098B" w:rsidRPr="00F34741" w:rsidSect="00282B61">
      <w:headerReference w:type="even" r:id="rId29"/>
      <w:headerReference w:type="default" r:id="rId30"/>
      <w:footerReference w:type="even" r:id="rId31"/>
      <w:footerReference w:type="default" r:id="rId32"/>
      <w:headerReference w:type="first" r:id="rId33"/>
      <w:footerReference w:type="first" r:id="rId34"/>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BF8" w:rsidRDefault="008E2BF8">
      <w:r>
        <w:separator/>
      </w:r>
    </w:p>
  </w:endnote>
  <w:endnote w:type="continuationSeparator" w:id="0">
    <w:p w:rsidR="008E2BF8" w:rsidRDefault="008E2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630" w:rsidRDefault="006C56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630" w:rsidRDefault="006C56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630" w:rsidRDefault="006C5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BF8" w:rsidRDefault="008E2BF8">
      <w:r>
        <w:separator/>
      </w:r>
    </w:p>
  </w:footnote>
  <w:footnote w:type="continuationSeparator" w:id="0">
    <w:p w:rsidR="008E2BF8" w:rsidRDefault="008E2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630" w:rsidRDefault="006C56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630" w:rsidRPr="00580C19" w:rsidRDefault="006C5630" w:rsidP="00ED0D1F">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Pr>
        <w:b/>
        <w:smallCaps/>
      </w:rPr>
      <w:t>General Principles of Perio</w:t>
    </w:r>
    <w:r w:rsidRPr="00442EDA">
      <w:rPr>
        <w:b/>
        <w:smallCaps/>
      </w:rPr>
      <w:t>perative Neurosurger</w:t>
    </w:r>
    <w:r w:rsidRPr="00442EDA">
      <w:rPr>
        <w:b/>
        <w:bCs/>
        <w:iCs/>
        <w:smallCaps/>
      </w:rPr>
      <w:t>y</w:t>
    </w:r>
    <w:r>
      <w:rPr>
        <w:b/>
        <w:bCs/>
        <w:iCs/>
        <w:smallCaps/>
      </w:rPr>
      <w:tab/>
    </w:r>
    <w:r>
      <w:t>Op120 (</w:t>
    </w:r>
    <w:r>
      <w:fldChar w:fldCharType="begin"/>
    </w:r>
    <w:r>
      <w:instrText xml:space="preserve"> PAGE </w:instrText>
    </w:r>
    <w:r>
      <w:fldChar w:fldCharType="separate"/>
    </w:r>
    <w:r w:rsidR="00B61CF0">
      <w:rPr>
        <w:noProof/>
      </w:rPr>
      <w:t>5</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630" w:rsidRDefault="006C56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30E1C2C"/>
    <w:multiLevelType w:val="hybridMultilevel"/>
    <w:tmpl w:val="B08B690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singleLevel"/>
    <w:tmpl w:val="3DC2A632"/>
    <w:lvl w:ilvl="0">
      <w:start w:val="1"/>
      <w:numFmt w:val="decimal"/>
      <w:lvlText w:val="%1."/>
      <w:lvlJc w:val="left"/>
      <w:pPr>
        <w:ind w:left="720" w:hanging="360"/>
      </w:pPr>
      <w:rPr>
        <w:rFonts w:ascii="Arial" w:hAnsi="Arial" w:cs="Arial" w:hint="default"/>
        <w:b w:val="0"/>
        <w:bCs w:val="0"/>
        <w:i w:val="0"/>
        <w:iCs w:val="0"/>
        <w:strike w:val="0"/>
        <w:color w:val="auto"/>
        <w:sz w:val="20"/>
        <w:szCs w:val="20"/>
        <w:u w:val="none"/>
      </w:rPr>
    </w:lvl>
  </w:abstractNum>
  <w:abstractNum w:abstractNumId="2" w15:restartNumberingAfterBreak="0">
    <w:nsid w:val="0A713038"/>
    <w:multiLevelType w:val="multilevel"/>
    <w:tmpl w:val="1B6A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A234E1"/>
    <w:multiLevelType w:val="hybridMultilevel"/>
    <w:tmpl w:val="D4287FE2"/>
    <w:lvl w:ilvl="0" w:tplc="F50C90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C6BD5"/>
    <w:multiLevelType w:val="hybridMultilevel"/>
    <w:tmpl w:val="28EE961E"/>
    <w:lvl w:ilvl="0" w:tplc="F50C90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47D43"/>
    <w:multiLevelType w:val="hybridMultilevel"/>
    <w:tmpl w:val="B5167F02"/>
    <w:lvl w:ilvl="0" w:tplc="EC565394">
      <w:start w:val="1"/>
      <w:numFmt w:val="upperLetter"/>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03D81"/>
    <w:multiLevelType w:val="hybridMultilevel"/>
    <w:tmpl w:val="6FFEFDF2"/>
    <w:lvl w:ilvl="0" w:tplc="BC6CF76C">
      <w:start w:val="1"/>
      <w:numFmt w:val="decimal"/>
      <w:lvlText w:val="%1)"/>
      <w:lvlJc w:val="left"/>
      <w:pPr>
        <w:tabs>
          <w:tab w:val="num" w:pos="1494"/>
        </w:tabs>
        <w:ind w:left="1494" w:hanging="360"/>
      </w:pPr>
      <w:rPr>
        <w:rFonts w:hint="default"/>
        <w:i w:val="0"/>
      </w:rPr>
    </w:lvl>
    <w:lvl w:ilvl="1" w:tplc="D304FA2E">
      <w:start w:val="1"/>
      <w:numFmt w:val="bullet"/>
      <w:lvlText w:val="–"/>
      <w:lvlJc w:val="left"/>
      <w:pPr>
        <w:tabs>
          <w:tab w:val="num" w:pos="2574"/>
        </w:tabs>
        <w:ind w:left="2574" w:hanging="360"/>
      </w:pPr>
      <w:rPr>
        <w:rFonts w:ascii="Times New Roman" w:hAnsi="Times New Roman" w:cs="Times New Roman" w:hint="default"/>
        <w:i w:val="0"/>
      </w:r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7" w15:restartNumberingAfterBreak="0">
    <w:nsid w:val="1F633FBF"/>
    <w:multiLevelType w:val="hybridMultilevel"/>
    <w:tmpl w:val="9D36AE32"/>
    <w:lvl w:ilvl="0" w:tplc="A91C14B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854E51"/>
    <w:multiLevelType w:val="hybridMultilevel"/>
    <w:tmpl w:val="ABB31CB7"/>
    <w:lvl w:ilvl="0" w:tplc="FFFFFFFF">
      <w:start w:val="1"/>
      <w:numFmt w:val="ideographDigital"/>
      <w:lvlText w:null="1"/>
      <w:lvlJc w:val="left"/>
    </w:lvl>
    <w:lvl w:ilvl="1" w:tplc="FFFFFFFF">
      <w:start w:val="1"/>
      <w:numFmt w:val="ideographDigital"/>
      <w:lvlText w:null="1"/>
      <w:lvlJc w:val="left"/>
    </w:lvl>
    <w:lvl w:ilvl="2" w:tplc="7A117F0C">
      <w:start w:val="1"/>
      <w:numFmt w:val="bullet"/>
      <w:lvlText w:val="•"/>
      <w:lvlJc w:val="left"/>
    </w:lvl>
    <w:lvl w:ilvl="3" w:tplc="FFFFFFFF">
      <w:start w:val="1"/>
      <w:numFmt w:val="lowerLetter"/>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34966C1"/>
    <w:multiLevelType w:val="hybridMultilevel"/>
    <w:tmpl w:val="9A3C8E5A"/>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24200C28"/>
    <w:multiLevelType w:val="hybridMultilevel"/>
    <w:tmpl w:val="2E04B7CA"/>
    <w:lvl w:ilvl="0" w:tplc="FBFA491C">
      <w:numFmt w:val="bullet"/>
      <w:lvlText w:val="—"/>
      <w:lvlJc w:val="left"/>
      <w:pPr>
        <w:ind w:left="1440" w:hanging="360"/>
      </w:pPr>
      <w:rPr>
        <w:rFonts w:ascii="Arial Narrow" w:hAnsi="Arial Narro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D324A8"/>
    <w:multiLevelType w:val="hybridMultilevel"/>
    <w:tmpl w:val="EFCAE0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75353F"/>
    <w:multiLevelType w:val="hybridMultilevel"/>
    <w:tmpl w:val="8592CB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A33878"/>
    <w:multiLevelType w:val="hybridMultilevel"/>
    <w:tmpl w:val="914C7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7E6B59"/>
    <w:multiLevelType w:val="hybridMultilevel"/>
    <w:tmpl w:val="AA8A15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357CA2"/>
    <w:multiLevelType w:val="hybridMultilevel"/>
    <w:tmpl w:val="54083D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076C0E"/>
    <w:multiLevelType w:val="hybridMultilevel"/>
    <w:tmpl w:val="329627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2D649F"/>
    <w:multiLevelType w:val="hybridMultilevel"/>
    <w:tmpl w:val="9B92DE0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DE2526"/>
    <w:multiLevelType w:val="hybridMultilevel"/>
    <w:tmpl w:val="B53A14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D0A2ED7"/>
    <w:multiLevelType w:val="hybridMultilevel"/>
    <w:tmpl w:val="6CDA553E"/>
    <w:lvl w:ilvl="0" w:tplc="04090001">
      <w:start w:val="1"/>
      <w:numFmt w:val="bullet"/>
      <w:lvlText w:val=""/>
      <w:lvlJc w:val="left"/>
      <w:pPr>
        <w:tabs>
          <w:tab w:val="num" w:pos="360"/>
        </w:tabs>
        <w:ind w:left="360" w:hanging="360"/>
      </w:pPr>
      <w:rPr>
        <w:rFonts w:ascii="Symbol" w:hAnsi="Symbol" w:hint="default"/>
      </w:rPr>
    </w:lvl>
    <w:lvl w:ilvl="1" w:tplc="67FA5B24">
      <w:start w:val="1"/>
      <w:numFmt w:val="lowerLetter"/>
      <w:lvlText w:val="%2)"/>
      <w:lvlJc w:val="left"/>
      <w:pPr>
        <w:tabs>
          <w:tab w:val="num" w:pos="928"/>
        </w:tabs>
        <w:ind w:left="928" w:hanging="360"/>
      </w:pPr>
      <w:rPr>
        <w:rFonts w:hint="default"/>
        <w:b w:val="0"/>
        <w:i w:val="0"/>
        <w:smallCaps w:val="0"/>
        <w:color w:val="000000"/>
        <w:sz w:val="24"/>
        <w:szCs w:val="24"/>
        <w:vertAlign w:val="baseline"/>
      </w:rPr>
    </w:lvl>
    <w:lvl w:ilvl="2" w:tplc="6DD2A40E">
      <w:start w:val="1"/>
      <w:numFmt w:val="decimal"/>
      <w:lvlText w:val="%3)"/>
      <w:lvlJc w:val="left"/>
      <w:pPr>
        <w:tabs>
          <w:tab w:val="num" w:pos="1069"/>
        </w:tabs>
        <w:ind w:left="1069" w:hanging="360"/>
      </w:pPr>
      <w:rPr>
        <w:rFonts w:hint="default"/>
        <w:b w:val="0"/>
        <w:i w:val="0"/>
        <w:smallCaps w:val="0"/>
        <w:color w:val="000000"/>
        <w:sz w:val="24"/>
        <w:szCs w:val="24"/>
        <w:vertAlign w:val="baseline"/>
      </w:rPr>
    </w:lvl>
    <w:lvl w:ilvl="3" w:tplc="D304FA2E">
      <w:start w:val="1"/>
      <w:numFmt w:val="bullet"/>
      <w:lvlText w:val="–"/>
      <w:lvlJc w:val="left"/>
      <w:pPr>
        <w:tabs>
          <w:tab w:val="num" w:pos="1636"/>
        </w:tabs>
        <w:ind w:left="1636" w:hanging="360"/>
      </w:pPr>
      <w:rPr>
        <w:rFonts w:ascii="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E2A6ABE"/>
    <w:multiLevelType w:val="hybridMultilevel"/>
    <w:tmpl w:val="F51825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37314E"/>
    <w:multiLevelType w:val="hybridMultilevel"/>
    <w:tmpl w:val="5D02A59C"/>
    <w:lvl w:ilvl="0" w:tplc="9818580A">
      <w:start w:val="1"/>
      <w:numFmt w:val="bullet"/>
      <w:lvlText w:val=""/>
      <w:lvlJc w:val="left"/>
      <w:pPr>
        <w:ind w:left="2062" w:hanging="360"/>
      </w:pPr>
      <w:rPr>
        <w:rFonts w:ascii="Symbol" w:hAnsi="Symbol"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22" w15:restartNumberingAfterBreak="0">
    <w:nsid w:val="51363D36"/>
    <w:multiLevelType w:val="hybridMultilevel"/>
    <w:tmpl w:val="E8769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5C0E47AF"/>
    <w:multiLevelType w:val="hybridMultilevel"/>
    <w:tmpl w:val="15BE8762"/>
    <w:lvl w:ilvl="0" w:tplc="F50C90C6">
      <w:start w:val="1"/>
      <w:numFmt w:val="upperLetter"/>
      <w:lvlText w:val="%1)"/>
      <w:lvlJc w:val="left"/>
      <w:pPr>
        <w:ind w:left="720" w:hanging="360"/>
      </w:pPr>
      <w:rPr>
        <w:rFonts w:hint="default"/>
        <w:b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7A226C"/>
    <w:multiLevelType w:val="hybridMultilevel"/>
    <w:tmpl w:val="7B2486C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72227F6"/>
    <w:multiLevelType w:val="hybridMultilevel"/>
    <w:tmpl w:val="1BE0AC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B594A83"/>
    <w:multiLevelType w:val="hybridMultilevel"/>
    <w:tmpl w:val="CC36C2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6"/>
  </w:num>
  <w:num w:numId="3">
    <w:abstractNumId w:val="0"/>
  </w:num>
  <w:num w:numId="4">
    <w:abstractNumId w:val="8"/>
  </w:num>
  <w:num w:numId="5">
    <w:abstractNumId w:val="25"/>
  </w:num>
  <w:num w:numId="6">
    <w:abstractNumId w:val="11"/>
  </w:num>
  <w:num w:numId="7">
    <w:abstractNumId w:val="26"/>
  </w:num>
  <w:num w:numId="8">
    <w:abstractNumId w:val="21"/>
  </w:num>
  <w:num w:numId="9">
    <w:abstractNumId w:val="15"/>
  </w:num>
  <w:num w:numId="10">
    <w:abstractNumId w:val="20"/>
  </w:num>
  <w:num w:numId="11">
    <w:abstractNumId w:val="10"/>
  </w:num>
  <w:num w:numId="12">
    <w:abstractNumId w:val="19"/>
  </w:num>
  <w:num w:numId="13">
    <w:abstractNumId w:val="13"/>
  </w:num>
  <w:num w:numId="14">
    <w:abstractNumId w:val="17"/>
  </w:num>
  <w:num w:numId="15">
    <w:abstractNumId w:val="22"/>
  </w:num>
  <w:num w:numId="16">
    <w:abstractNumId w:val="9"/>
  </w:num>
  <w:num w:numId="17">
    <w:abstractNumId w:val="16"/>
  </w:num>
  <w:num w:numId="18">
    <w:abstractNumId w:val="4"/>
  </w:num>
  <w:num w:numId="19">
    <w:abstractNumId w:val="1"/>
  </w:num>
  <w:num w:numId="20">
    <w:abstractNumId w:val="3"/>
  </w:num>
  <w:num w:numId="21">
    <w:abstractNumId w:val="24"/>
  </w:num>
  <w:num w:numId="22">
    <w:abstractNumId w:val="2"/>
  </w:num>
  <w:num w:numId="23">
    <w:abstractNumId w:val="7"/>
  </w:num>
  <w:num w:numId="24">
    <w:abstractNumId w:val="5"/>
  </w:num>
  <w:num w:numId="25">
    <w:abstractNumId w:val="12"/>
  </w:num>
  <w:num w:numId="26">
    <w:abstractNumId w:val="2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01A35"/>
    <w:rsid w:val="000054EA"/>
    <w:rsid w:val="00032C46"/>
    <w:rsid w:val="000615DB"/>
    <w:rsid w:val="00086226"/>
    <w:rsid w:val="0009465D"/>
    <w:rsid w:val="000A4001"/>
    <w:rsid w:val="00107434"/>
    <w:rsid w:val="001235E0"/>
    <w:rsid w:val="001248DA"/>
    <w:rsid w:val="001442A7"/>
    <w:rsid w:val="00146970"/>
    <w:rsid w:val="00167DDB"/>
    <w:rsid w:val="00172F04"/>
    <w:rsid w:val="001765E9"/>
    <w:rsid w:val="00177A5D"/>
    <w:rsid w:val="001A1CA6"/>
    <w:rsid w:val="001B66E5"/>
    <w:rsid w:val="001C4B6E"/>
    <w:rsid w:val="001E3BB7"/>
    <w:rsid w:val="00201F72"/>
    <w:rsid w:val="00211A76"/>
    <w:rsid w:val="00220F29"/>
    <w:rsid w:val="00251565"/>
    <w:rsid w:val="002630F7"/>
    <w:rsid w:val="00271C9D"/>
    <w:rsid w:val="00282B61"/>
    <w:rsid w:val="002A214F"/>
    <w:rsid w:val="002A4930"/>
    <w:rsid w:val="002C62EB"/>
    <w:rsid w:val="002F1DF2"/>
    <w:rsid w:val="00313EAF"/>
    <w:rsid w:val="003213FF"/>
    <w:rsid w:val="00347FE3"/>
    <w:rsid w:val="0036399E"/>
    <w:rsid w:val="003643C1"/>
    <w:rsid w:val="00364994"/>
    <w:rsid w:val="00381733"/>
    <w:rsid w:val="00397578"/>
    <w:rsid w:val="003A45E0"/>
    <w:rsid w:val="003A667E"/>
    <w:rsid w:val="003A6DF0"/>
    <w:rsid w:val="003C398F"/>
    <w:rsid w:val="003E0098"/>
    <w:rsid w:val="003E6C0B"/>
    <w:rsid w:val="003E7F1A"/>
    <w:rsid w:val="003F0051"/>
    <w:rsid w:val="003F33CF"/>
    <w:rsid w:val="004000BF"/>
    <w:rsid w:val="00421DDB"/>
    <w:rsid w:val="00442EDA"/>
    <w:rsid w:val="0046682D"/>
    <w:rsid w:val="0047449B"/>
    <w:rsid w:val="0047669B"/>
    <w:rsid w:val="00491C32"/>
    <w:rsid w:val="00491FCD"/>
    <w:rsid w:val="00494EBD"/>
    <w:rsid w:val="004A3807"/>
    <w:rsid w:val="004B141D"/>
    <w:rsid w:val="004C66D2"/>
    <w:rsid w:val="004E39F8"/>
    <w:rsid w:val="004E41B5"/>
    <w:rsid w:val="00510034"/>
    <w:rsid w:val="00514AF8"/>
    <w:rsid w:val="0051761A"/>
    <w:rsid w:val="0052098B"/>
    <w:rsid w:val="00520CBA"/>
    <w:rsid w:val="00522BC9"/>
    <w:rsid w:val="00530DB6"/>
    <w:rsid w:val="00532276"/>
    <w:rsid w:val="005409A1"/>
    <w:rsid w:val="00545E17"/>
    <w:rsid w:val="00580C19"/>
    <w:rsid w:val="00595C8B"/>
    <w:rsid w:val="005A702B"/>
    <w:rsid w:val="005D7603"/>
    <w:rsid w:val="00613516"/>
    <w:rsid w:val="00627403"/>
    <w:rsid w:val="00630DC1"/>
    <w:rsid w:val="00632837"/>
    <w:rsid w:val="00664084"/>
    <w:rsid w:val="0067055F"/>
    <w:rsid w:val="00691C89"/>
    <w:rsid w:val="006A2649"/>
    <w:rsid w:val="006A3349"/>
    <w:rsid w:val="006A7427"/>
    <w:rsid w:val="006C5630"/>
    <w:rsid w:val="006D0D5C"/>
    <w:rsid w:val="006D4DA8"/>
    <w:rsid w:val="006E6BF2"/>
    <w:rsid w:val="00701452"/>
    <w:rsid w:val="007076DF"/>
    <w:rsid w:val="00711C9B"/>
    <w:rsid w:val="00716FE1"/>
    <w:rsid w:val="00723E8E"/>
    <w:rsid w:val="00730469"/>
    <w:rsid w:val="00733A26"/>
    <w:rsid w:val="00736BBC"/>
    <w:rsid w:val="007428BB"/>
    <w:rsid w:val="00751186"/>
    <w:rsid w:val="0075422A"/>
    <w:rsid w:val="0075460F"/>
    <w:rsid w:val="00761177"/>
    <w:rsid w:val="00763CEB"/>
    <w:rsid w:val="00780D78"/>
    <w:rsid w:val="00794564"/>
    <w:rsid w:val="007950C5"/>
    <w:rsid w:val="007B289C"/>
    <w:rsid w:val="007B52F0"/>
    <w:rsid w:val="007B7E3C"/>
    <w:rsid w:val="007C1096"/>
    <w:rsid w:val="007E7EAF"/>
    <w:rsid w:val="007F0B79"/>
    <w:rsid w:val="007F0F9B"/>
    <w:rsid w:val="008036DF"/>
    <w:rsid w:val="00821995"/>
    <w:rsid w:val="00827365"/>
    <w:rsid w:val="00827474"/>
    <w:rsid w:val="008347CD"/>
    <w:rsid w:val="00844A97"/>
    <w:rsid w:val="0084503C"/>
    <w:rsid w:val="00850033"/>
    <w:rsid w:val="00851ABC"/>
    <w:rsid w:val="00856E8F"/>
    <w:rsid w:val="00863A94"/>
    <w:rsid w:val="008740A6"/>
    <w:rsid w:val="00890E69"/>
    <w:rsid w:val="0089696D"/>
    <w:rsid w:val="008A2140"/>
    <w:rsid w:val="008A2A0F"/>
    <w:rsid w:val="008A5913"/>
    <w:rsid w:val="008B52EB"/>
    <w:rsid w:val="008B6179"/>
    <w:rsid w:val="008C1301"/>
    <w:rsid w:val="008C348C"/>
    <w:rsid w:val="008D1BA7"/>
    <w:rsid w:val="008D3B3F"/>
    <w:rsid w:val="008E2BF8"/>
    <w:rsid w:val="008F1350"/>
    <w:rsid w:val="008F63CC"/>
    <w:rsid w:val="009128A9"/>
    <w:rsid w:val="00912D09"/>
    <w:rsid w:val="0092135A"/>
    <w:rsid w:val="00925078"/>
    <w:rsid w:val="0093074D"/>
    <w:rsid w:val="00930C5A"/>
    <w:rsid w:val="00943F0C"/>
    <w:rsid w:val="00950829"/>
    <w:rsid w:val="009544CB"/>
    <w:rsid w:val="00955C61"/>
    <w:rsid w:val="00957DC0"/>
    <w:rsid w:val="00974427"/>
    <w:rsid w:val="00997A6B"/>
    <w:rsid w:val="009C195C"/>
    <w:rsid w:val="009C2A05"/>
    <w:rsid w:val="009C5C31"/>
    <w:rsid w:val="009D2C2D"/>
    <w:rsid w:val="009D3347"/>
    <w:rsid w:val="009F28EB"/>
    <w:rsid w:val="009F7CED"/>
    <w:rsid w:val="00A0178B"/>
    <w:rsid w:val="00A10161"/>
    <w:rsid w:val="00A1460C"/>
    <w:rsid w:val="00A26E41"/>
    <w:rsid w:val="00A342B9"/>
    <w:rsid w:val="00A51D1F"/>
    <w:rsid w:val="00A55B78"/>
    <w:rsid w:val="00A65185"/>
    <w:rsid w:val="00A730F6"/>
    <w:rsid w:val="00A75ACC"/>
    <w:rsid w:val="00A77DEB"/>
    <w:rsid w:val="00A83C59"/>
    <w:rsid w:val="00A846AD"/>
    <w:rsid w:val="00A902AD"/>
    <w:rsid w:val="00A908F0"/>
    <w:rsid w:val="00AB45BD"/>
    <w:rsid w:val="00AC5078"/>
    <w:rsid w:val="00AD4AE5"/>
    <w:rsid w:val="00AF640B"/>
    <w:rsid w:val="00B0641B"/>
    <w:rsid w:val="00B16989"/>
    <w:rsid w:val="00B25E0D"/>
    <w:rsid w:val="00B61CF0"/>
    <w:rsid w:val="00B65ECD"/>
    <w:rsid w:val="00B70350"/>
    <w:rsid w:val="00BA5B7A"/>
    <w:rsid w:val="00BB0E67"/>
    <w:rsid w:val="00BC20C1"/>
    <w:rsid w:val="00BE56BA"/>
    <w:rsid w:val="00BF0BB6"/>
    <w:rsid w:val="00BF57D3"/>
    <w:rsid w:val="00BF7698"/>
    <w:rsid w:val="00C170ED"/>
    <w:rsid w:val="00C22011"/>
    <w:rsid w:val="00C22A60"/>
    <w:rsid w:val="00C24A85"/>
    <w:rsid w:val="00C25BF2"/>
    <w:rsid w:val="00C4530E"/>
    <w:rsid w:val="00C45B61"/>
    <w:rsid w:val="00C50017"/>
    <w:rsid w:val="00C526D6"/>
    <w:rsid w:val="00C62236"/>
    <w:rsid w:val="00C71D46"/>
    <w:rsid w:val="00C72B17"/>
    <w:rsid w:val="00CA010A"/>
    <w:rsid w:val="00CA3D1F"/>
    <w:rsid w:val="00CC15E3"/>
    <w:rsid w:val="00CC1F54"/>
    <w:rsid w:val="00CD3A28"/>
    <w:rsid w:val="00CE1E97"/>
    <w:rsid w:val="00CF029D"/>
    <w:rsid w:val="00D74522"/>
    <w:rsid w:val="00DB0BCE"/>
    <w:rsid w:val="00DB3039"/>
    <w:rsid w:val="00DF382B"/>
    <w:rsid w:val="00E06983"/>
    <w:rsid w:val="00E25F5B"/>
    <w:rsid w:val="00E33248"/>
    <w:rsid w:val="00E33C8E"/>
    <w:rsid w:val="00E474A3"/>
    <w:rsid w:val="00E71C1E"/>
    <w:rsid w:val="00E8598C"/>
    <w:rsid w:val="00E8789B"/>
    <w:rsid w:val="00EA585C"/>
    <w:rsid w:val="00EB1C99"/>
    <w:rsid w:val="00EC5E85"/>
    <w:rsid w:val="00ED0D1F"/>
    <w:rsid w:val="00ED6AC5"/>
    <w:rsid w:val="00EE2929"/>
    <w:rsid w:val="00EF16DE"/>
    <w:rsid w:val="00EF62A9"/>
    <w:rsid w:val="00F11012"/>
    <w:rsid w:val="00F1159D"/>
    <w:rsid w:val="00F1215E"/>
    <w:rsid w:val="00F13481"/>
    <w:rsid w:val="00F26037"/>
    <w:rsid w:val="00F26E58"/>
    <w:rsid w:val="00F30C7E"/>
    <w:rsid w:val="00F34741"/>
    <w:rsid w:val="00F35390"/>
    <w:rsid w:val="00F574B1"/>
    <w:rsid w:val="00F61EAF"/>
    <w:rsid w:val="00F65C5C"/>
    <w:rsid w:val="00F66292"/>
    <w:rsid w:val="00F731B6"/>
    <w:rsid w:val="00F7412B"/>
    <w:rsid w:val="00F87440"/>
    <w:rsid w:val="00F92386"/>
    <w:rsid w:val="00FB0390"/>
    <w:rsid w:val="00FC30F0"/>
    <w:rsid w:val="00FD14F0"/>
    <w:rsid w:val="00FF3077"/>
    <w:rsid w:val="00FF5507"/>
    <w:rsid w:val="00FF6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1F8B4A50-8B25-4B9D-BD8A-C8998C0B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E97"/>
    <w:rPr>
      <w:sz w:val="24"/>
    </w:rPr>
  </w:style>
  <w:style w:type="paragraph" w:styleId="Heading1">
    <w:name w:val="heading 1"/>
    <w:basedOn w:val="Normal"/>
    <w:next w:val="Normal"/>
    <w:link w:val="Heading1Char"/>
    <w:qFormat/>
    <w:rsid w:val="00CC15E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C15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C15E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C15E3"/>
    <w:pPr>
      <w:keepNext/>
      <w:spacing w:before="240" w:after="60"/>
      <w:outlineLvl w:val="3"/>
    </w:pPr>
    <w:rPr>
      <w:b/>
      <w:bCs/>
      <w:sz w:val="28"/>
      <w:szCs w:val="28"/>
    </w:rPr>
  </w:style>
  <w:style w:type="paragraph" w:styleId="Heading5">
    <w:name w:val="heading 5"/>
    <w:basedOn w:val="Normal"/>
    <w:next w:val="Normal"/>
    <w:link w:val="Heading5Char"/>
    <w:qFormat/>
    <w:rsid w:val="00CC15E3"/>
    <w:pPr>
      <w:spacing w:before="240" w:after="60"/>
      <w:outlineLvl w:val="4"/>
    </w:pPr>
    <w:rPr>
      <w:b/>
      <w:bCs/>
      <w:i/>
      <w:iCs/>
      <w:sz w:val="26"/>
      <w:szCs w:val="26"/>
    </w:rPr>
  </w:style>
  <w:style w:type="paragraph" w:styleId="Heading8">
    <w:name w:val="heading 8"/>
    <w:basedOn w:val="Normal"/>
    <w:next w:val="Normal"/>
    <w:qFormat/>
    <w:rsid w:val="00CC15E3"/>
    <w:pPr>
      <w:spacing w:before="240" w:after="60"/>
      <w:outlineLvl w:val="7"/>
    </w:pPr>
    <w:rPr>
      <w:i/>
      <w:iCs/>
      <w:szCs w:val="24"/>
    </w:rPr>
  </w:style>
  <w:style w:type="paragraph" w:styleId="Heading9">
    <w:name w:val="heading 9"/>
    <w:basedOn w:val="Normal"/>
    <w:next w:val="Normal"/>
    <w:qFormat/>
    <w:rsid w:val="00CC15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CE1E97"/>
    <w:pPr>
      <w:tabs>
        <w:tab w:val="center" w:pos="4320"/>
        <w:tab w:val="right" w:pos="9923"/>
      </w:tabs>
    </w:pPr>
    <w:rPr>
      <w:color w:val="999999"/>
      <w:szCs w:val="24"/>
    </w:rPr>
  </w:style>
  <w:style w:type="paragraph" w:customStyle="1" w:styleId="Nervous1">
    <w:name w:val="Nervous 1"/>
    <w:basedOn w:val="Normal"/>
    <w:rsid w:val="00CE1E97"/>
    <w:pPr>
      <w:shd w:val="pct25" w:color="000000" w:fill="FFFFFF"/>
      <w:spacing w:before="120" w:after="120"/>
      <w:jc w:val="center"/>
    </w:pPr>
    <w:rPr>
      <w:b/>
      <w:caps/>
      <w:sz w:val="32"/>
    </w:rPr>
  </w:style>
  <w:style w:type="paragraph" w:styleId="TOC1">
    <w:name w:val="toc 1"/>
    <w:basedOn w:val="Normal"/>
    <w:next w:val="Normal"/>
    <w:autoRedefine/>
    <w:uiPriority w:val="39"/>
    <w:rsid w:val="00C22011"/>
    <w:pPr>
      <w:tabs>
        <w:tab w:val="right" w:leader="dot" w:pos="9912"/>
      </w:tabs>
    </w:pPr>
    <w:rPr>
      <w:b/>
      <w:smallCaps/>
      <w:lang w:val="lt-LT"/>
    </w:rPr>
  </w:style>
  <w:style w:type="paragraph" w:styleId="TOC2">
    <w:name w:val="toc 2"/>
    <w:basedOn w:val="Normal"/>
    <w:next w:val="Normal"/>
    <w:autoRedefine/>
    <w:uiPriority w:val="39"/>
    <w:rsid w:val="00CE1E97"/>
    <w:pPr>
      <w:ind w:left="200"/>
    </w:pPr>
    <w:rPr>
      <w:smallCaps/>
    </w:rPr>
  </w:style>
  <w:style w:type="paragraph" w:customStyle="1" w:styleId="Nervous2">
    <w:name w:val="Nervous 2"/>
    <w:basedOn w:val="Normal"/>
    <w:autoRedefine/>
    <w:rsid w:val="00CE1E97"/>
    <w:rPr>
      <w:b/>
      <w:caps/>
      <w:color w:val="0000FF"/>
      <w:sz w:val="28"/>
    </w:rPr>
  </w:style>
  <w:style w:type="paragraph" w:customStyle="1" w:styleId="Antrat">
    <w:name w:val="Antraštė"/>
    <w:basedOn w:val="Normal"/>
    <w:rsid w:val="00CE1E97"/>
    <w:pPr>
      <w:spacing w:before="240" w:after="240"/>
      <w:jc w:val="center"/>
    </w:pPr>
    <w:rPr>
      <w:b/>
      <w:caps/>
      <w:sz w:val="40"/>
      <w:u w:val="single" w:color="FF0000"/>
    </w:rPr>
  </w:style>
  <w:style w:type="paragraph" w:customStyle="1" w:styleId="Nervous3">
    <w:name w:val="Nervous 3"/>
    <w:basedOn w:val="Normal"/>
    <w:rsid w:val="00CE1E97"/>
    <w:rPr>
      <w:b/>
      <w:caps/>
      <w:sz w:val="28"/>
      <w:u w:val="double"/>
    </w:rPr>
  </w:style>
  <w:style w:type="character" w:styleId="Hyperlink">
    <w:name w:val="Hyperlink"/>
    <w:uiPriority w:val="99"/>
    <w:rsid w:val="00CE1E97"/>
    <w:rPr>
      <w:color w:val="999999"/>
      <w:u w:val="none"/>
    </w:rPr>
  </w:style>
  <w:style w:type="paragraph" w:customStyle="1" w:styleId="Nervous4">
    <w:name w:val="Nervous 4"/>
    <w:basedOn w:val="Normal"/>
    <w:rsid w:val="00CE1E97"/>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CE1E97"/>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link w:val="TitleChar"/>
    <w:qFormat/>
    <w:rsid w:val="00CE1E97"/>
    <w:pPr>
      <w:spacing w:before="240"/>
      <w:jc w:val="center"/>
    </w:pPr>
    <w:rPr>
      <w:b/>
      <w:bCs/>
      <w:i/>
      <w:iCs/>
      <w:sz w:val="44"/>
    </w:rPr>
  </w:style>
  <w:style w:type="paragraph" w:customStyle="1" w:styleId="Drugname">
    <w:name w:val="Drug name"/>
    <w:basedOn w:val="NormalWeb"/>
    <w:link w:val="DrugnameChar"/>
    <w:autoRedefine/>
    <w:rsid w:val="00CE1E97"/>
    <w:rPr>
      <w:b/>
      <w:bCs/>
      <w:caps/>
      <w:shadow/>
      <w:color w:val="FF0000"/>
      <w:lang w:val="en-GB"/>
    </w:rPr>
  </w:style>
  <w:style w:type="paragraph" w:customStyle="1" w:styleId="Nervous7">
    <w:name w:val="Nervous 7"/>
    <w:basedOn w:val="Normal"/>
    <w:rsid w:val="00CE1E97"/>
    <w:pPr>
      <w:shd w:val="clear" w:color="auto" w:fill="FFFF00"/>
    </w:pPr>
    <w:rPr>
      <w:b/>
      <w:bCs/>
      <w:smallCaps/>
    </w:rPr>
  </w:style>
  <w:style w:type="paragraph" w:customStyle="1" w:styleId="Drugname2">
    <w:name w:val="Drug name 2"/>
    <w:basedOn w:val="Drugname"/>
    <w:link w:val="Drugname2Char"/>
    <w:autoRedefine/>
    <w:qFormat/>
    <w:rsid w:val="00CE1E97"/>
    <w:rPr>
      <w:b w:val="0"/>
      <w:caps w:val="0"/>
      <w:smallCaps/>
    </w:rPr>
  </w:style>
  <w:style w:type="character" w:styleId="FollowedHyperlink">
    <w:name w:val="FollowedHyperlink"/>
    <w:rsid w:val="00CE1E97"/>
    <w:rPr>
      <w:color w:val="999999"/>
      <w:u w:val="none"/>
    </w:rPr>
  </w:style>
  <w:style w:type="paragraph" w:customStyle="1" w:styleId="Nervous6">
    <w:name w:val="Nervous 6"/>
    <w:basedOn w:val="Normal"/>
    <w:rsid w:val="00CE1E97"/>
    <w:pPr>
      <w:shd w:val="clear" w:color="auto" w:fill="000000"/>
      <w:spacing w:before="120" w:after="60"/>
      <w:ind w:right="7796"/>
      <w:jc w:val="center"/>
    </w:pPr>
    <w:rPr>
      <w:b/>
      <w:bCs/>
      <w:smallCaps/>
      <w:color w:val="CCFFCC"/>
    </w:rPr>
  </w:style>
  <w:style w:type="paragraph" w:customStyle="1" w:styleId="Nervous9">
    <w:name w:val="Nervous 9"/>
    <w:link w:val="Nervous9Char"/>
    <w:rsid w:val="00CE1E97"/>
    <w:rPr>
      <w:sz w:val="24"/>
      <w:szCs w:val="24"/>
      <w:u w:val="double" w:color="FF0000"/>
    </w:rPr>
  </w:style>
  <w:style w:type="paragraph" w:styleId="TOC4">
    <w:name w:val="toc 4"/>
    <w:basedOn w:val="Normal"/>
    <w:next w:val="Normal"/>
    <w:autoRedefine/>
    <w:uiPriority w:val="39"/>
    <w:rsid w:val="00CE1E97"/>
    <w:pPr>
      <w:tabs>
        <w:tab w:val="right" w:leader="dot" w:pos="9912"/>
      </w:tabs>
      <w:spacing w:line="240" w:lineRule="atLeast"/>
      <w:ind w:left="1134"/>
    </w:pPr>
  </w:style>
  <w:style w:type="paragraph" w:customStyle="1" w:styleId="Nervous8">
    <w:name w:val="Nervous 8"/>
    <w:basedOn w:val="Normal"/>
    <w:rsid w:val="00CE1E97"/>
    <w:rPr>
      <w:i/>
      <w:smallCaps/>
      <w:color w:val="999999"/>
      <w:szCs w:val="24"/>
    </w:rPr>
  </w:style>
  <w:style w:type="paragraph" w:styleId="Footer">
    <w:name w:val="footer"/>
    <w:basedOn w:val="Normal"/>
    <w:link w:val="FooterChar"/>
    <w:rsid w:val="00CE1E97"/>
    <w:pPr>
      <w:tabs>
        <w:tab w:val="center" w:pos="4320"/>
        <w:tab w:val="right" w:pos="8640"/>
      </w:tabs>
    </w:pPr>
  </w:style>
  <w:style w:type="paragraph" w:styleId="NormalWeb">
    <w:name w:val="Normal (Web)"/>
    <w:basedOn w:val="Normal"/>
    <w:link w:val="NormalWebChar"/>
    <w:uiPriority w:val="99"/>
    <w:unhideWhenUsed/>
    <w:rsid w:val="00CE1E97"/>
    <w:rPr>
      <w:szCs w:val="24"/>
    </w:rPr>
  </w:style>
  <w:style w:type="paragraph" w:styleId="BalloonText">
    <w:name w:val="Balloon Text"/>
    <w:basedOn w:val="Normal"/>
    <w:link w:val="BalloonTextChar"/>
    <w:rsid w:val="00CE1E97"/>
    <w:rPr>
      <w:rFonts w:ascii="Tahoma" w:hAnsi="Tahoma" w:cs="Tahoma"/>
      <w:sz w:val="16"/>
      <w:szCs w:val="16"/>
    </w:rPr>
  </w:style>
  <w:style w:type="character" w:customStyle="1" w:styleId="BalloonTextChar">
    <w:name w:val="Balloon Text Char"/>
    <w:link w:val="BalloonText"/>
    <w:rsid w:val="00CE1E97"/>
    <w:rPr>
      <w:rFonts w:ascii="Tahoma" w:hAnsi="Tahoma" w:cs="Tahoma"/>
      <w:sz w:val="16"/>
      <w:szCs w:val="16"/>
    </w:rPr>
  </w:style>
  <w:style w:type="character" w:customStyle="1" w:styleId="Drugname2Char">
    <w:name w:val="Drug name 2 Char"/>
    <w:link w:val="Drugname2"/>
    <w:rsid w:val="00CE1E97"/>
    <w:rPr>
      <w:bCs/>
      <w:smallCaps/>
      <w:shadow/>
      <w:color w:val="FF0000"/>
      <w:sz w:val="24"/>
      <w:szCs w:val="24"/>
      <w:lang w:val="en-GB"/>
    </w:rPr>
  </w:style>
  <w:style w:type="character" w:customStyle="1" w:styleId="Nervous9Char">
    <w:name w:val="Nervous 9 Char"/>
    <w:basedOn w:val="DefaultParagraphFont"/>
    <w:link w:val="Nervous9"/>
    <w:rsid w:val="00CE1E97"/>
    <w:rPr>
      <w:sz w:val="24"/>
      <w:szCs w:val="24"/>
      <w:u w:val="double" w:color="FF0000"/>
    </w:rPr>
  </w:style>
  <w:style w:type="paragraph" w:customStyle="1" w:styleId="Default">
    <w:name w:val="Default"/>
    <w:rsid w:val="00CC15E3"/>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CC15E3"/>
    <w:pPr>
      <w:spacing w:line="276" w:lineRule="atLeast"/>
    </w:pPr>
    <w:rPr>
      <w:color w:val="auto"/>
    </w:rPr>
  </w:style>
  <w:style w:type="paragraph" w:customStyle="1" w:styleId="CM17">
    <w:name w:val="CM17"/>
    <w:basedOn w:val="Default"/>
    <w:next w:val="Default"/>
    <w:uiPriority w:val="99"/>
    <w:rsid w:val="00CC15E3"/>
    <w:rPr>
      <w:color w:val="auto"/>
    </w:rPr>
  </w:style>
  <w:style w:type="paragraph" w:customStyle="1" w:styleId="CM19">
    <w:name w:val="CM19"/>
    <w:basedOn w:val="Default"/>
    <w:next w:val="Default"/>
    <w:uiPriority w:val="99"/>
    <w:rsid w:val="00CC15E3"/>
    <w:rPr>
      <w:color w:val="auto"/>
    </w:rPr>
  </w:style>
  <w:style w:type="paragraph" w:customStyle="1" w:styleId="CM22">
    <w:name w:val="CM22"/>
    <w:basedOn w:val="Default"/>
    <w:next w:val="Default"/>
    <w:uiPriority w:val="99"/>
    <w:rsid w:val="00CC15E3"/>
    <w:pPr>
      <w:spacing w:line="276" w:lineRule="atLeast"/>
    </w:pPr>
    <w:rPr>
      <w:color w:val="auto"/>
    </w:rPr>
  </w:style>
  <w:style w:type="paragraph" w:customStyle="1" w:styleId="CM24">
    <w:name w:val="CM24"/>
    <w:basedOn w:val="Default"/>
    <w:next w:val="Default"/>
    <w:uiPriority w:val="99"/>
    <w:rsid w:val="00CC15E3"/>
    <w:pPr>
      <w:spacing w:line="276" w:lineRule="atLeast"/>
    </w:pPr>
    <w:rPr>
      <w:color w:val="auto"/>
    </w:rPr>
  </w:style>
  <w:style w:type="character" w:customStyle="1" w:styleId="Heading1Char">
    <w:name w:val="Heading 1 Char"/>
    <w:basedOn w:val="DefaultParagraphFont"/>
    <w:link w:val="Heading1"/>
    <w:rsid w:val="00CC15E3"/>
    <w:rPr>
      <w:rFonts w:ascii="Arial" w:hAnsi="Arial" w:cs="Arial"/>
      <w:b/>
      <w:bCs/>
      <w:kern w:val="32"/>
      <w:sz w:val="32"/>
      <w:szCs w:val="32"/>
    </w:rPr>
  </w:style>
  <w:style w:type="character" w:customStyle="1" w:styleId="Heading2Char">
    <w:name w:val="Heading 2 Char"/>
    <w:basedOn w:val="DefaultParagraphFont"/>
    <w:link w:val="Heading2"/>
    <w:rsid w:val="00CC15E3"/>
    <w:rPr>
      <w:rFonts w:ascii="Arial" w:hAnsi="Arial" w:cs="Arial"/>
      <w:b/>
      <w:bCs/>
      <w:i/>
      <w:iCs/>
      <w:sz w:val="28"/>
      <w:szCs w:val="28"/>
    </w:rPr>
  </w:style>
  <w:style w:type="character" w:customStyle="1" w:styleId="Heading3Char">
    <w:name w:val="Heading 3 Char"/>
    <w:basedOn w:val="DefaultParagraphFont"/>
    <w:link w:val="Heading3"/>
    <w:rsid w:val="00CC15E3"/>
    <w:rPr>
      <w:rFonts w:ascii="Arial" w:hAnsi="Arial" w:cs="Arial"/>
      <w:b/>
      <w:bCs/>
      <w:sz w:val="26"/>
      <w:szCs w:val="26"/>
    </w:rPr>
  </w:style>
  <w:style w:type="paragraph" w:styleId="TOC3">
    <w:name w:val="toc 3"/>
    <w:basedOn w:val="Normal"/>
    <w:next w:val="Normal"/>
    <w:autoRedefine/>
    <w:uiPriority w:val="39"/>
    <w:rsid w:val="00CE1E97"/>
    <w:pPr>
      <w:ind w:left="480"/>
    </w:pPr>
  </w:style>
  <w:style w:type="character" w:customStyle="1" w:styleId="NormalWebChar">
    <w:name w:val="Normal (Web) Char"/>
    <w:basedOn w:val="DefaultParagraphFont"/>
    <w:link w:val="NormalWeb"/>
    <w:uiPriority w:val="99"/>
    <w:rsid w:val="00AC5078"/>
    <w:rPr>
      <w:sz w:val="24"/>
      <w:szCs w:val="24"/>
    </w:rPr>
  </w:style>
  <w:style w:type="character" w:customStyle="1" w:styleId="Heading4Char">
    <w:name w:val="Heading 4 Char"/>
    <w:basedOn w:val="DefaultParagraphFont"/>
    <w:link w:val="Heading4"/>
    <w:rsid w:val="00CC15E3"/>
    <w:rPr>
      <w:b/>
      <w:bCs/>
      <w:sz w:val="28"/>
      <w:szCs w:val="28"/>
    </w:rPr>
  </w:style>
  <w:style w:type="character" w:customStyle="1" w:styleId="Heading5Char">
    <w:name w:val="Heading 5 Char"/>
    <w:basedOn w:val="DefaultParagraphFont"/>
    <w:link w:val="Heading5"/>
    <w:rsid w:val="00CC15E3"/>
    <w:rPr>
      <w:b/>
      <w:bCs/>
      <w:i/>
      <w:iCs/>
      <w:sz w:val="26"/>
      <w:szCs w:val="26"/>
    </w:rPr>
  </w:style>
  <w:style w:type="paragraph" w:customStyle="1" w:styleId="Articlename">
    <w:name w:val="Article name"/>
    <w:basedOn w:val="Normal"/>
    <w:autoRedefine/>
    <w:qFormat/>
    <w:rsid w:val="00CE1E97"/>
    <w:pPr>
      <w:ind w:left="2155"/>
    </w:pPr>
    <w:rPr>
      <w:i/>
      <w:sz w:val="20"/>
    </w:rPr>
  </w:style>
  <w:style w:type="character" w:customStyle="1" w:styleId="Trialname">
    <w:name w:val="Trial name"/>
    <w:qFormat/>
    <w:rsid w:val="00CE1E97"/>
    <w:rPr>
      <w:b/>
      <w:shadow/>
      <w:color w:val="0099CC"/>
    </w:rPr>
  </w:style>
  <w:style w:type="character" w:styleId="PageNumber">
    <w:name w:val="page number"/>
    <w:basedOn w:val="DefaultParagraphFont"/>
    <w:rsid w:val="00CE1E97"/>
  </w:style>
  <w:style w:type="table" w:styleId="TableGrid">
    <w:name w:val="Table Grid"/>
    <w:basedOn w:val="TableNormal"/>
    <w:rsid w:val="00CE1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1E97"/>
    <w:pPr>
      <w:ind w:left="720"/>
    </w:pPr>
  </w:style>
  <w:style w:type="character" w:customStyle="1" w:styleId="text">
    <w:name w:val="text"/>
    <w:basedOn w:val="DefaultParagraphFont"/>
    <w:rsid w:val="00CC15E3"/>
  </w:style>
  <w:style w:type="character" w:customStyle="1" w:styleId="Eponym">
    <w:name w:val="Eponym"/>
    <w:qFormat/>
    <w:rsid w:val="00CE1E97"/>
    <w:rPr>
      <w:b/>
      <w:shadow/>
      <w:color w:val="00B050"/>
    </w:rPr>
  </w:style>
  <w:style w:type="character" w:customStyle="1" w:styleId="DrugnameChar">
    <w:name w:val="Drug name Char"/>
    <w:basedOn w:val="DefaultParagraphFont"/>
    <w:link w:val="Drugname"/>
    <w:rsid w:val="00691C89"/>
    <w:rPr>
      <w:b/>
      <w:bCs/>
      <w:caps/>
      <w:shadow/>
      <w:color w:val="FF0000"/>
      <w:sz w:val="24"/>
      <w:szCs w:val="24"/>
      <w:lang w:val="en-GB"/>
    </w:rPr>
  </w:style>
  <w:style w:type="character" w:styleId="Emphasis">
    <w:name w:val="Emphasis"/>
    <w:basedOn w:val="DefaultParagraphFont"/>
    <w:uiPriority w:val="20"/>
    <w:qFormat/>
    <w:rsid w:val="00723E8E"/>
    <w:rPr>
      <w:i/>
      <w:iCs/>
    </w:rPr>
  </w:style>
  <w:style w:type="character" w:customStyle="1" w:styleId="Blue">
    <w:name w:val="Blue"/>
    <w:uiPriority w:val="1"/>
    <w:rsid w:val="00CE1E97"/>
    <w:rPr>
      <w:color w:val="0000FF"/>
    </w:rPr>
  </w:style>
  <w:style w:type="character" w:customStyle="1" w:styleId="FooterChar">
    <w:name w:val="Footer Char"/>
    <w:basedOn w:val="DefaultParagraphFont"/>
    <w:link w:val="Footer"/>
    <w:rsid w:val="00CE1E97"/>
    <w:rPr>
      <w:sz w:val="24"/>
    </w:rPr>
  </w:style>
  <w:style w:type="character" w:customStyle="1" w:styleId="HeaderChar">
    <w:name w:val="Header Char"/>
    <w:basedOn w:val="DefaultParagraphFont"/>
    <w:link w:val="Header"/>
    <w:rsid w:val="00CE1E97"/>
    <w:rPr>
      <w:color w:val="999999"/>
      <w:sz w:val="24"/>
      <w:szCs w:val="24"/>
    </w:rPr>
  </w:style>
  <w:style w:type="character" w:customStyle="1" w:styleId="Red">
    <w:name w:val="Red"/>
    <w:uiPriority w:val="1"/>
    <w:rsid w:val="00CE1E97"/>
    <w:rPr>
      <w:color w:val="FF0000"/>
    </w:rPr>
  </w:style>
  <w:style w:type="paragraph" w:customStyle="1" w:styleId="source">
    <w:name w:val="source"/>
    <w:basedOn w:val="Normal"/>
    <w:rsid w:val="00CE1E97"/>
    <w:pPr>
      <w:spacing w:before="100" w:beforeAutospacing="1" w:after="100" w:afterAutospacing="1"/>
    </w:pPr>
    <w:rPr>
      <w:szCs w:val="24"/>
    </w:rPr>
  </w:style>
  <w:style w:type="paragraph" w:customStyle="1" w:styleId="Sourceofpicture">
    <w:name w:val="Source of picture"/>
    <w:qFormat/>
    <w:rsid w:val="00CE1E97"/>
    <w:rPr>
      <w:color w:val="999999"/>
      <w:sz w:val="18"/>
      <w:szCs w:val="18"/>
    </w:rPr>
  </w:style>
  <w:style w:type="character" w:styleId="Strong">
    <w:name w:val="Strong"/>
    <w:basedOn w:val="DefaultParagraphFont"/>
    <w:uiPriority w:val="22"/>
    <w:qFormat/>
    <w:rsid w:val="00CE1E97"/>
    <w:rPr>
      <w:b/>
      <w:bCs/>
    </w:rPr>
  </w:style>
  <w:style w:type="character" w:customStyle="1" w:styleId="TitleChar">
    <w:name w:val="Title Char"/>
    <w:basedOn w:val="DefaultParagraphFont"/>
    <w:link w:val="Title"/>
    <w:rsid w:val="00CE1E97"/>
    <w:rPr>
      <w:b/>
      <w:bCs/>
      <w:i/>
      <w:iCs/>
      <w:sz w:val="44"/>
    </w:rPr>
  </w:style>
  <w:style w:type="paragraph" w:customStyle="1" w:styleId="Normal0">
    <w:name w:val="[Normal]"/>
    <w:rsid w:val="00A846AD"/>
    <w:pPr>
      <w:autoSpaceDE w:val="0"/>
      <w:autoSpaceDN w:val="0"/>
      <w:adjustRightInd w:val="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4974">
      <w:bodyDiv w:val="1"/>
      <w:marLeft w:val="0"/>
      <w:marRight w:val="0"/>
      <w:marTop w:val="0"/>
      <w:marBottom w:val="0"/>
      <w:divBdr>
        <w:top w:val="none" w:sz="0" w:space="0" w:color="auto"/>
        <w:left w:val="none" w:sz="0" w:space="0" w:color="auto"/>
        <w:bottom w:val="none" w:sz="0" w:space="0" w:color="auto"/>
        <w:right w:val="none" w:sz="0" w:space="0" w:color="auto"/>
      </w:divBdr>
    </w:div>
    <w:div w:id="6016489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Rx.%20Treatment%20Modalities/Rx0.%20Medications%20in%20Neurosurgery.pdf" TargetMode="External"/><Relationship Id="rId18" Type="http://schemas.openxmlformats.org/officeDocument/2006/relationships/hyperlink" Target="../Rx.%20Treatment%20Modalities/Rx0.%20Medications%20in%20Neurosurgery.pdf" TargetMode="External"/><Relationship Id="rId26" Type="http://schemas.openxmlformats.org/officeDocument/2006/relationships/hyperlink" Target="../TrH.%20Head%20trauma/TrH5.%20Skull%20Fractures.pdf"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hyperlink" Target="../S.%20Symptoms,%20Signs,%20Syndromes/S50-64.%20Intracranial%20pressure,%20Brain%20edema,%20Herniation,%20Hydrocephaly/S50.%20GENERAL%20-%20Intracranial%20Hypertension.pdf" TargetMode="External"/><Relationship Id="rId12" Type="http://schemas.openxmlformats.org/officeDocument/2006/relationships/image" Target="media/image5.png"/><Relationship Id="rId17" Type="http://schemas.openxmlformats.org/officeDocument/2006/relationships/hyperlink" Target="../Rx.%20Treatment%20Modalities/Rx0.%20Medications%20in%20Neurosurgery.pdf" TargetMode="External"/><Relationship Id="rId25" Type="http://schemas.openxmlformats.org/officeDocument/2006/relationships/hyperlink" Target="200-299.%20Spine/Op220.%20Thoracolumbosacral%20Spine%20Surgery%20(techniques).pdf"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Rx.%20Treatment%20Modalities/Rx0.%20Medications%20in%20Neurosurgery.pdf"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Op100.%20General%20Principles%20of%20Operative%20Neurosurgery.pdf"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Rx.%20Treatment%20Modalities/Rx0.%20Medications%20in%20Neurosurgery.pdf" TargetMode="External"/><Relationship Id="rId23" Type="http://schemas.openxmlformats.org/officeDocument/2006/relationships/hyperlink" Target="../Rx.%20Treatment%20Modalities/Rx0.%20Medications%20in%20Neurosurgery.pdf" TargetMode="External"/><Relationship Id="rId28" Type="http://schemas.openxmlformats.org/officeDocument/2006/relationships/hyperlink" Target="http://www.neurosurgeryresident.net"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neurosurgeryresident.net/USMLE%202\Surgery%20(2201-2250)\2209.%20Surgical%20Needles,%20Surgical%20Tubes.pdf"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Rx.%20Treatment%20Modalities/Rx0.%20Medications%20in%20Neurosurgery.pdf" TargetMode="External"/><Relationship Id="rId22" Type="http://schemas.openxmlformats.org/officeDocument/2006/relationships/image" Target="media/image8.png"/><Relationship Id="rId27" Type="http://schemas.openxmlformats.org/officeDocument/2006/relationships/hyperlink" Target="http://www.neurosurgeryresident.net/"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116</TotalTime>
  <Pages>5</Pages>
  <Words>2369</Words>
  <Characters>13506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Viktor's Notes –</vt:lpstr>
    </vt:vector>
  </TitlesOfParts>
  <Company>www.NeurosurgeryResident.net</Company>
  <LinksUpToDate>false</LinksUpToDate>
  <CharactersWithSpaces>15844</CharactersWithSpaces>
  <SharedDoc>false</SharedDoc>
  <HLinks>
    <vt:vector size="78" baseType="variant">
      <vt:variant>
        <vt:i4>5242973</vt:i4>
      </vt:variant>
      <vt:variant>
        <vt:i4>60</vt:i4>
      </vt:variant>
      <vt:variant>
        <vt:i4>0</vt:i4>
      </vt:variant>
      <vt:variant>
        <vt:i4>5</vt:i4>
      </vt:variant>
      <vt:variant>
        <vt:lpwstr>http://www.neurosurgeryresident.net/</vt:lpwstr>
      </vt:variant>
      <vt:variant>
        <vt:lpwstr/>
      </vt:variant>
      <vt:variant>
        <vt:i4>5242973</vt:i4>
      </vt:variant>
      <vt:variant>
        <vt:i4>57</vt:i4>
      </vt:variant>
      <vt:variant>
        <vt:i4>0</vt:i4>
      </vt:variant>
      <vt:variant>
        <vt:i4>5</vt:i4>
      </vt:variant>
      <vt:variant>
        <vt:lpwstr>http://www.neurosurgeryresident.net/</vt:lpwstr>
      </vt:variant>
      <vt:variant>
        <vt:lpwstr/>
      </vt:variant>
      <vt:variant>
        <vt:i4>1310727</vt:i4>
      </vt:variant>
      <vt:variant>
        <vt:i4>54</vt:i4>
      </vt:variant>
      <vt:variant>
        <vt:i4>0</vt:i4>
      </vt:variant>
      <vt:variant>
        <vt:i4>5</vt:i4>
      </vt:variant>
      <vt:variant>
        <vt:lpwstr>../Onc. Bibliography.doc</vt:lpwstr>
      </vt:variant>
      <vt:variant>
        <vt:lpwstr/>
      </vt:variant>
      <vt:variant>
        <vt:i4>7405635</vt:i4>
      </vt:variant>
      <vt:variant>
        <vt:i4>51</vt:i4>
      </vt:variant>
      <vt:variant>
        <vt:i4>0</vt:i4>
      </vt:variant>
      <vt:variant>
        <vt:i4>5</vt:i4>
      </vt:variant>
      <vt:variant>
        <vt:lpwstr>../USMLE 2/Surgery (2201-2250)/2209. Surgical Needles, Surgical Tubes.doc</vt:lpwstr>
      </vt:variant>
      <vt:variant>
        <vt:lpwstr>Nasogastric_tubes</vt:lpwstr>
      </vt:variant>
      <vt:variant>
        <vt:i4>1310741</vt:i4>
      </vt:variant>
      <vt:variant>
        <vt:i4>48</vt:i4>
      </vt:variant>
      <vt:variant>
        <vt:i4>0</vt:i4>
      </vt:variant>
      <vt:variant>
        <vt:i4>5</vt:i4>
      </vt:variant>
      <vt:variant>
        <vt:lpwstr>../../../Textbooks/Periodicals/00. Articles/Periop Beta Blockers</vt:lpwstr>
      </vt:variant>
      <vt:variant>
        <vt:lpwstr/>
      </vt:variant>
      <vt:variant>
        <vt:i4>1572921</vt:i4>
      </vt:variant>
      <vt:variant>
        <vt:i4>41</vt:i4>
      </vt:variant>
      <vt:variant>
        <vt:i4>0</vt:i4>
      </vt:variant>
      <vt:variant>
        <vt:i4>5</vt:i4>
      </vt:variant>
      <vt:variant>
        <vt:lpwstr/>
      </vt:variant>
      <vt:variant>
        <vt:lpwstr>_Toc395782731</vt:lpwstr>
      </vt:variant>
      <vt:variant>
        <vt:i4>1572921</vt:i4>
      </vt:variant>
      <vt:variant>
        <vt:i4>35</vt:i4>
      </vt:variant>
      <vt:variant>
        <vt:i4>0</vt:i4>
      </vt:variant>
      <vt:variant>
        <vt:i4>5</vt:i4>
      </vt:variant>
      <vt:variant>
        <vt:lpwstr/>
      </vt:variant>
      <vt:variant>
        <vt:lpwstr>_Toc395782730</vt:lpwstr>
      </vt:variant>
      <vt:variant>
        <vt:i4>1638457</vt:i4>
      </vt:variant>
      <vt:variant>
        <vt:i4>29</vt:i4>
      </vt:variant>
      <vt:variant>
        <vt:i4>0</vt:i4>
      </vt:variant>
      <vt:variant>
        <vt:i4>5</vt:i4>
      </vt:variant>
      <vt:variant>
        <vt:lpwstr/>
      </vt:variant>
      <vt:variant>
        <vt:lpwstr>_Toc395782729</vt:lpwstr>
      </vt:variant>
      <vt:variant>
        <vt:i4>1638457</vt:i4>
      </vt:variant>
      <vt:variant>
        <vt:i4>23</vt:i4>
      </vt:variant>
      <vt:variant>
        <vt:i4>0</vt:i4>
      </vt:variant>
      <vt:variant>
        <vt:i4>5</vt:i4>
      </vt:variant>
      <vt:variant>
        <vt:lpwstr/>
      </vt:variant>
      <vt:variant>
        <vt:lpwstr>_Toc395782728</vt:lpwstr>
      </vt:variant>
      <vt:variant>
        <vt:i4>1638457</vt:i4>
      </vt:variant>
      <vt:variant>
        <vt:i4>17</vt:i4>
      </vt:variant>
      <vt:variant>
        <vt:i4>0</vt:i4>
      </vt:variant>
      <vt:variant>
        <vt:i4>5</vt:i4>
      </vt:variant>
      <vt:variant>
        <vt:lpwstr/>
      </vt:variant>
      <vt:variant>
        <vt:lpwstr>_Toc395782727</vt:lpwstr>
      </vt:variant>
      <vt:variant>
        <vt:i4>1638457</vt:i4>
      </vt:variant>
      <vt:variant>
        <vt:i4>11</vt:i4>
      </vt:variant>
      <vt:variant>
        <vt:i4>0</vt:i4>
      </vt:variant>
      <vt:variant>
        <vt:i4>5</vt:i4>
      </vt:variant>
      <vt:variant>
        <vt:lpwstr/>
      </vt:variant>
      <vt:variant>
        <vt:lpwstr>_Toc395782726</vt:lpwstr>
      </vt:variant>
      <vt:variant>
        <vt:i4>1638457</vt:i4>
      </vt:variant>
      <vt:variant>
        <vt:i4>5</vt:i4>
      </vt:variant>
      <vt:variant>
        <vt:i4>0</vt:i4>
      </vt:variant>
      <vt:variant>
        <vt:i4>5</vt:i4>
      </vt:variant>
      <vt:variant>
        <vt:lpwstr/>
      </vt:variant>
      <vt:variant>
        <vt:lpwstr>_Toc395782725</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dc:title>
  <dc:subject/>
  <dc:creator>Viktoras Palys, MD</dc:creator>
  <cp:keywords/>
  <cp:lastModifiedBy>Viktoras Palys</cp:lastModifiedBy>
  <cp:revision>37</cp:revision>
  <cp:lastPrinted>2020-12-20T08:29:00Z</cp:lastPrinted>
  <dcterms:created xsi:type="dcterms:W3CDTF">2015-11-23T03:57:00Z</dcterms:created>
  <dcterms:modified xsi:type="dcterms:W3CDTF">2020-12-20T08:29:00Z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