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10" w:rsidRDefault="00C62110" w:rsidP="001761B2">
      <w:pPr>
        <w:pStyle w:val="Title"/>
      </w:pPr>
      <w:bookmarkStart w:id="0" w:name="_GoBack"/>
      <w:r>
        <w:t>Language, Speech</w:t>
      </w:r>
    </w:p>
    <w:p w:rsidR="001761B2" w:rsidRDefault="001761B2" w:rsidP="001761B2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C9473D">
        <w:rPr>
          <w:noProof/>
        </w:rPr>
        <w:t>May 8, 2019</w:t>
      </w:r>
      <w:r>
        <w:fldChar w:fldCharType="end"/>
      </w:r>
    </w:p>
    <w:p w:rsidR="005013FE" w:rsidRDefault="005013FE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fldChar w:fldCharType="begin"/>
      </w:r>
      <w:r>
        <w:instrText xml:space="preserve"> TOC \h \z \t "Nervous 1,2,Antraštė,1" </w:instrText>
      </w:r>
      <w:r>
        <w:fldChar w:fldCharType="separate"/>
      </w:r>
      <w:hyperlink w:anchor="_Toc5998466" w:history="1">
        <w:r w:rsidRPr="00001C04">
          <w:rPr>
            <w:rStyle w:val="Hyperlink"/>
            <w:noProof/>
          </w:rPr>
          <w:t>pediatric development stages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_Toc5998466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473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013FE" w:rsidRDefault="00C9473D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467" w:history="1">
        <w:r w:rsidR="005013FE" w:rsidRPr="00001C04">
          <w:rPr>
            <w:rStyle w:val="Hyperlink"/>
            <w:noProof/>
          </w:rPr>
          <w:t>anatomical basis</w:t>
        </w:r>
        <w:r w:rsidR="005013FE">
          <w:rPr>
            <w:noProof/>
            <w:webHidden/>
          </w:rPr>
          <w:tab/>
        </w:r>
        <w:r w:rsidR="005013FE">
          <w:rPr>
            <w:noProof/>
            <w:webHidden/>
          </w:rPr>
          <w:fldChar w:fldCharType="begin"/>
        </w:r>
        <w:r w:rsidR="005013FE">
          <w:rPr>
            <w:noProof/>
            <w:webHidden/>
          </w:rPr>
          <w:instrText xml:space="preserve"> PAGEREF _Toc5998467 \h </w:instrText>
        </w:r>
        <w:r w:rsidR="005013FE">
          <w:rPr>
            <w:noProof/>
            <w:webHidden/>
          </w:rPr>
        </w:r>
        <w:r w:rsidR="005013F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013FE">
          <w:rPr>
            <w:noProof/>
            <w:webHidden/>
          </w:rPr>
          <w:fldChar w:fldCharType="end"/>
        </w:r>
      </w:hyperlink>
    </w:p>
    <w:p w:rsidR="005013FE" w:rsidRDefault="00C9473D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468" w:history="1">
        <w:r w:rsidR="005013FE" w:rsidRPr="00001C04">
          <w:rPr>
            <w:rStyle w:val="Hyperlink"/>
            <w:noProof/>
          </w:rPr>
          <w:t>Disorders</w:t>
        </w:r>
        <w:r w:rsidR="005013FE">
          <w:rPr>
            <w:noProof/>
            <w:webHidden/>
          </w:rPr>
          <w:tab/>
        </w:r>
        <w:r w:rsidR="005013FE">
          <w:rPr>
            <w:noProof/>
            <w:webHidden/>
          </w:rPr>
          <w:fldChar w:fldCharType="begin"/>
        </w:r>
        <w:r w:rsidR="005013FE">
          <w:rPr>
            <w:noProof/>
            <w:webHidden/>
          </w:rPr>
          <w:instrText xml:space="preserve"> PAGEREF _Toc5998468 \h </w:instrText>
        </w:r>
        <w:r w:rsidR="005013FE">
          <w:rPr>
            <w:noProof/>
            <w:webHidden/>
          </w:rPr>
        </w:r>
        <w:r w:rsidR="005013F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013FE">
          <w:rPr>
            <w:noProof/>
            <w:webHidden/>
          </w:rPr>
          <w:fldChar w:fldCharType="end"/>
        </w:r>
      </w:hyperlink>
    </w:p>
    <w:p w:rsidR="00C62110" w:rsidRDefault="005013FE">
      <w:pPr>
        <w:pStyle w:val="TOC1"/>
      </w:pPr>
      <w:r>
        <w:fldChar w:fldCharType="end"/>
      </w:r>
    </w:p>
    <w:p w:rsidR="005013FE" w:rsidRPr="005013FE" w:rsidRDefault="005013FE" w:rsidP="005013FE">
      <w:pPr>
        <w:rPr>
          <w:lang w:val="lt-LT"/>
        </w:rPr>
      </w:pPr>
    </w:p>
    <w:p w:rsidR="00C62110" w:rsidRDefault="00C62110">
      <w:r>
        <w:rPr>
          <w:caps/>
        </w:rPr>
        <w:t>language</w:t>
      </w:r>
      <w:r>
        <w:t xml:space="preserve"> is </w:t>
      </w:r>
      <w:r>
        <w:rPr>
          <w:b/>
          <w:bCs/>
          <w:color w:val="808000"/>
        </w:rPr>
        <w:t>brain's use of symbols for communication</w:t>
      </w:r>
      <w:r>
        <w:t>; i.e. cognitive aspect of symbolic communication.</w:t>
      </w:r>
    </w:p>
    <w:p w:rsidR="00C62110" w:rsidRDefault="00C62110">
      <w:pPr>
        <w:rPr>
          <w:lang w:val="lt-LT"/>
        </w:rPr>
      </w:pPr>
    </w:p>
    <w:p w:rsidR="00C62110" w:rsidRDefault="00C62110">
      <w:pPr>
        <w:numPr>
          <w:ilvl w:val="0"/>
          <w:numId w:val="1"/>
        </w:numPr>
      </w:pPr>
      <w:r>
        <w:rPr>
          <w:i/>
          <w:iCs/>
        </w:rPr>
        <w:t>animal models</w:t>
      </w:r>
      <w:r>
        <w:t xml:space="preserve"> have limited role (in study of human language).</w:t>
      </w:r>
    </w:p>
    <w:p w:rsidR="00C62110" w:rsidRDefault="00C62110">
      <w:pPr>
        <w:numPr>
          <w:ilvl w:val="0"/>
          <w:numId w:val="1"/>
        </w:numPr>
        <w:rPr>
          <w:lang w:val="lt-LT"/>
        </w:rPr>
      </w:pPr>
      <w:r>
        <w:rPr>
          <w:b/>
          <w:bCs/>
          <w:lang w:val="lt-LT"/>
        </w:rPr>
        <w:t>anatominės struktūros</w:t>
      </w:r>
      <w:r>
        <w:rPr>
          <w:lang w:val="lt-LT"/>
        </w:rPr>
        <w:t xml:space="preserve">, reikalingos kalbai, atsirado jau prieš 500.000 metų, tačiau </w:t>
      </w:r>
      <w:r>
        <w:rPr>
          <w:b/>
          <w:bCs/>
          <w:i/>
          <w:iCs/>
          <w:lang w:val="lt-LT"/>
        </w:rPr>
        <w:t>kalba per se</w:t>
      </w:r>
      <w:r>
        <w:rPr>
          <w:lang w:val="lt-LT"/>
        </w:rPr>
        <w:t xml:space="preserve"> turbūt atsirado </w:t>
      </w:r>
      <w:r>
        <w:rPr>
          <w:color w:val="0000FF"/>
          <w:lang w:val="lt-LT"/>
        </w:rPr>
        <w:t>prieš 100.000 metų rytų Afrikoje</w:t>
      </w:r>
      <w:r>
        <w:rPr>
          <w:lang w:val="lt-LT"/>
        </w:rPr>
        <w:t>.</w:t>
      </w:r>
    </w:p>
    <w:p w:rsidR="00C62110" w:rsidRDefault="00C62110">
      <w:pPr>
        <w:pStyle w:val="Header"/>
        <w:tabs>
          <w:tab w:val="clear" w:pos="4320"/>
        </w:tabs>
        <w:rPr>
          <w:lang w:val="lt-LT"/>
        </w:rPr>
      </w:pPr>
    </w:p>
    <w:p w:rsidR="00C62110" w:rsidRPr="005266B8" w:rsidRDefault="00C62110">
      <w:pPr>
        <w:numPr>
          <w:ilvl w:val="0"/>
          <w:numId w:val="1"/>
        </w:numPr>
      </w:pPr>
      <w:r w:rsidRPr="005266B8">
        <w:t xml:space="preserve">language is one of fundamental bases of </w:t>
      </w:r>
      <w:r w:rsidRPr="005266B8">
        <w:rPr>
          <w:i/>
          <w:iCs/>
        </w:rPr>
        <w:t>human intelligence</w:t>
      </w:r>
      <w:r w:rsidRPr="005266B8">
        <w:t xml:space="preserve"> and key part of </w:t>
      </w:r>
      <w:r w:rsidRPr="005266B8">
        <w:rPr>
          <w:i/>
          <w:iCs/>
        </w:rPr>
        <w:t>human culture</w:t>
      </w:r>
      <w:r w:rsidRPr="005266B8">
        <w:t>.</w:t>
      </w:r>
    </w:p>
    <w:p w:rsidR="00C62110" w:rsidRPr="005266B8" w:rsidRDefault="00C62110">
      <w:pPr>
        <w:numPr>
          <w:ilvl w:val="0"/>
          <w:numId w:val="1"/>
        </w:numPr>
      </w:pPr>
      <w:r w:rsidRPr="005266B8">
        <w:t xml:space="preserve">humans </w:t>
      </w:r>
      <w:r w:rsidRPr="005266B8">
        <w:rPr>
          <w:smallCaps/>
        </w:rPr>
        <w:t>receive</w:t>
      </w:r>
      <w:r w:rsidRPr="005266B8">
        <w:t xml:space="preserve"> language through </w:t>
      </w:r>
      <w:r w:rsidRPr="005266B8">
        <w:rPr>
          <w:b/>
          <w:bCs/>
          <w:i/>
          <w:iCs/>
          <w:color w:val="993366"/>
        </w:rPr>
        <w:t>listening / reading</w:t>
      </w:r>
      <w:r w:rsidRPr="005266B8">
        <w:t>.</w:t>
      </w:r>
    </w:p>
    <w:p w:rsidR="00C62110" w:rsidRPr="005266B8" w:rsidRDefault="00C62110">
      <w:pPr>
        <w:ind w:left="340"/>
      </w:pPr>
      <w:r w:rsidRPr="005266B8">
        <w:t xml:space="preserve">humans </w:t>
      </w:r>
      <w:r w:rsidRPr="005266B8">
        <w:rPr>
          <w:smallCaps/>
        </w:rPr>
        <w:t>express</w:t>
      </w:r>
      <w:r w:rsidRPr="005266B8">
        <w:t xml:space="preserve"> language through </w:t>
      </w:r>
      <w:r w:rsidRPr="005266B8">
        <w:rPr>
          <w:b/>
          <w:bCs/>
          <w:i/>
          <w:iCs/>
          <w:color w:val="993366"/>
        </w:rPr>
        <w:t>speaking / writing</w:t>
      </w:r>
      <w:r w:rsidRPr="005266B8">
        <w:t>;</w:t>
      </w:r>
    </w:p>
    <w:p w:rsidR="00C62110" w:rsidRPr="005266B8" w:rsidRDefault="00C62110">
      <w:pPr>
        <w:ind w:left="720" w:firstLine="720"/>
      </w:pPr>
      <w:r w:rsidRPr="005266B8">
        <w:rPr>
          <w:caps/>
        </w:rPr>
        <w:t xml:space="preserve">N.B. </w:t>
      </w:r>
      <w:r w:rsidRPr="005266B8">
        <w:rPr>
          <w:i/>
          <w:iCs/>
          <w:caps/>
        </w:rPr>
        <w:t>speech</w:t>
      </w:r>
      <w:r w:rsidRPr="005266B8">
        <w:t xml:space="preserve"> is vocal expression of language.</w:t>
      </w:r>
    </w:p>
    <w:p w:rsidR="00C62110" w:rsidRPr="005266B8" w:rsidRDefault="00C62110">
      <w:pPr>
        <w:ind w:left="340"/>
      </w:pPr>
    </w:p>
    <w:p w:rsidR="001761B2" w:rsidRPr="005266B8" w:rsidRDefault="001761B2">
      <w:pPr>
        <w:ind w:left="340"/>
      </w:pPr>
    </w:p>
    <w:p w:rsidR="00C62110" w:rsidRDefault="00C62110" w:rsidP="005013FE">
      <w:pPr>
        <w:pStyle w:val="Nervous1"/>
      </w:pPr>
      <w:bookmarkStart w:id="1" w:name="_Toc5998466"/>
      <w:r>
        <w:t>pediatric development stages</w:t>
      </w:r>
      <w:bookmarkEnd w:id="1"/>
    </w:p>
    <w:p w:rsidR="00C62110" w:rsidRDefault="00C62110">
      <w:r>
        <w:rPr>
          <w:b/>
          <w:bCs/>
        </w:rPr>
        <w:t>6 months</w:t>
      </w:r>
      <w:r>
        <w:t xml:space="preserve"> – beginning of distinct </w:t>
      </w:r>
      <w:r>
        <w:rPr>
          <w:b/>
          <w:bCs/>
          <w:color w:val="000080"/>
        </w:rPr>
        <w:t>babbling</w:t>
      </w:r>
      <w:r>
        <w:t>.</w:t>
      </w:r>
    </w:p>
    <w:p w:rsidR="00C62110" w:rsidRDefault="00C62110">
      <w:r>
        <w:rPr>
          <w:b/>
          <w:bCs/>
        </w:rPr>
        <w:t>1 year</w:t>
      </w:r>
      <w:r>
        <w:t xml:space="preserve"> – </w:t>
      </w:r>
      <w:r>
        <w:rPr>
          <w:b/>
          <w:bCs/>
          <w:color w:val="000080"/>
        </w:rPr>
        <w:t>1-word speaker</w:t>
      </w:r>
      <w:r>
        <w:t xml:space="preserve"> (language understanding, 1 or more poorly pronounced words).</w:t>
      </w:r>
    </w:p>
    <w:p w:rsidR="00C62110" w:rsidRDefault="00C62110">
      <w:r>
        <w:rPr>
          <w:b/>
          <w:bCs/>
        </w:rPr>
        <w:t>2 years</w:t>
      </w:r>
      <w:r>
        <w:t xml:space="preserve"> – </w:t>
      </w:r>
      <w:r>
        <w:rPr>
          <w:b/>
          <w:bCs/>
          <w:color w:val="000080"/>
        </w:rPr>
        <w:t>2-word (telegraphic) speaker</w:t>
      </w:r>
      <w:r>
        <w:t xml:space="preserve"> (</w:t>
      </w:r>
      <w:r>
        <w:rPr>
          <w:lang w:val="lt-LT"/>
        </w:rPr>
        <w:t>žodynas &gt; 50 žodžių, kalba dvižodėmis frazėmis</w:t>
      </w:r>
      <w:r>
        <w:t>).</w:t>
      </w:r>
    </w:p>
    <w:p w:rsidR="00C62110" w:rsidRDefault="00C62110">
      <w:r>
        <w:rPr>
          <w:b/>
          <w:bCs/>
        </w:rPr>
        <w:t>3 years</w:t>
      </w:r>
      <w:r>
        <w:t xml:space="preserve"> – </w:t>
      </w:r>
      <w:r w:rsidR="009D506E" w:rsidRPr="009D506E">
        <w:rPr>
          <w:b/>
          <w:bCs/>
          <w:color w:val="000080"/>
        </w:rPr>
        <w:t>3 word sentences</w:t>
      </w:r>
      <w:r w:rsidR="009D506E">
        <w:rPr>
          <w:lang w:val="lt-LT"/>
        </w:rPr>
        <w:t xml:space="preserve"> (</w:t>
      </w:r>
      <w:r>
        <w:rPr>
          <w:lang w:val="lt-LT"/>
        </w:rPr>
        <w:t>žodynas</w:t>
      </w:r>
      <w:r>
        <w:t xml:space="preserve"> ≈ </w:t>
      </w:r>
      <w:r>
        <w:rPr>
          <w:b/>
          <w:bCs/>
          <w:color w:val="000080"/>
        </w:rPr>
        <w:t xml:space="preserve">1000 </w:t>
      </w:r>
      <w:r>
        <w:rPr>
          <w:b/>
          <w:bCs/>
          <w:color w:val="000080"/>
          <w:lang w:val="lt-LT"/>
        </w:rPr>
        <w:t>žodžių</w:t>
      </w:r>
      <w:r w:rsidR="009D506E">
        <w:t>).</w:t>
      </w:r>
    </w:p>
    <w:p w:rsidR="00C62110" w:rsidRDefault="00C62110">
      <w:r>
        <w:rPr>
          <w:b/>
          <w:bCs/>
        </w:rPr>
        <w:t>4 years</w:t>
      </w:r>
      <w:r>
        <w:t xml:space="preserve"> – close to </w:t>
      </w:r>
      <w:r>
        <w:rPr>
          <w:b/>
          <w:bCs/>
          <w:color w:val="000080"/>
        </w:rPr>
        <w:t>adult</w:t>
      </w:r>
      <w:r>
        <w:t xml:space="preserve"> speech competence.</w:t>
      </w:r>
    </w:p>
    <w:p w:rsidR="00C62110" w:rsidRDefault="00C62110"/>
    <w:p w:rsidR="001761B2" w:rsidRDefault="001761B2"/>
    <w:p w:rsidR="00C62110" w:rsidRDefault="00C62110" w:rsidP="005013FE">
      <w:pPr>
        <w:pStyle w:val="Nervous1"/>
      </w:pPr>
      <w:bookmarkStart w:id="2" w:name="_Toc5998467"/>
      <w:r>
        <w:t>anatomical basis</w:t>
      </w:r>
      <w:bookmarkEnd w:id="2"/>
    </w:p>
    <w:p w:rsidR="00C62110" w:rsidRDefault="00C62110">
      <w:pPr>
        <w:pStyle w:val="NormalWeb"/>
        <w:numPr>
          <w:ilvl w:val="0"/>
          <w:numId w:val="3"/>
        </w:numPr>
      </w:pPr>
      <w:r>
        <w:t xml:space="preserve">localized to </w:t>
      </w:r>
      <w:r>
        <w:rPr>
          <w:b/>
          <w:bCs/>
          <w:smallCaps/>
          <w:color w:val="000080"/>
        </w:rPr>
        <w:t>neocortex</w:t>
      </w:r>
      <w:r>
        <w:t xml:space="preserve">! (vs. </w:t>
      </w:r>
      <w:r>
        <w:rPr>
          <w:b/>
          <w:bCs/>
        </w:rPr>
        <w:t>memory</w:t>
      </w:r>
      <w:r>
        <w:t xml:space="preserve"> and </w:t>
      </w:r>
      <w:r>
        <w:rPr>
          <w:b/>
          <w:bCs/>
        </w:rPr>
        <w:t>learning</w:t>
      </w:r>
      <w:r>
        <w:t xml:space="preserve"> are functions of large parts of brain).</w:t>
      </w:r>
    </w:p>
    <w:p w:rsidR="00C62110" w:rsidRDefault="00C62110">
      <w:pPr>
        <w:pStyle w:val="NormalWeb"/>
        <w:numPr>
          <w:ilvl w:val="0"/>
          <w:numId w:val="3"/>
        </w:numPr>
      </w:pPr>
      <w:r>
        <w:t>human neocortical mantle is highly developed → speech and other intellectual functions.</w:t>
      </w:r>
    </w:p>
    <w:p w:rsidR="00C62110" w:rsidRDefault="00C62110">
      <w:pPr>
        <w:pStyle w:val="NormalWeb"/>
        <w:numPr>
          <w:ilvl w:val="0"/>
          <w:numId w:val="3"/>
        </w:numPr>
      </w:pPr>
      <w:r>
        <w:t xml:space="preserve">primary language areas are in </w:t>
      </w:r>
      <w:r>
        <w:rPr>
          <w:b/>
          <w:bCs/>
          <w:smallCaps/>
          <w:highlight w:val="yellow"/>
        </w:rPr>
        <w:t>parasylvian area</w:t>
      </w:r>
      <w:r>
        <w:rPr>
          <w:smallCaps/>
          <w:highlight w:val="yellow"/>
        </w:rPr>
        <w:t xml:space="preserve"> </w:t>
      </w:r>
      <w:r>
        <w:rPr>
          <w:highlight w:val="yellow"/>
        </w:rPr>
        <w:t>of dominant (categorical) hemisphere</w:t>
      </w:r>
      <w:r>
        <w:t>:</w:t>
      </w:r>
    </w:p>
    <w:p w:rsidR="00C62110" w:rsidRDefault="00C62110">
      <w:pPr>
        <w:spacing w:before="120"/>
      </w:pPr>
      <w:r>
        <w:rPr>
          <w:b/>
          <w:bCs/>
          <w:color w:val="FF6600"/>
          <w:u w:val="single"/>
        </w:rPr>
        <w:t>Wernicke center</w:t>
      </w:r>
      <w:r>
        <w:rPr>
          <w:b/>
          <w:bCs/>
          <w:color w:val="FF6600"/>
        </w:rPr>
        <w:t xml:space="preserve"> </w:t>
      </w:r>
      <w:r>
        <w:t xml:space="preserve">– </w:t>
      </w:r>
      <w:r>
        <w:rPr>
          <w:b/>
          <w:bCs/>
        </w:rPr>
        <w:t>auditory association cortex</w:t>
      </w:r>
      <w:r>
        <w:t xml:space="preserve"> - memory of images that represent word as heard / seen (</w:t>
      </w:r>
      <w:r>
        <w:rPr>
          <w:i/>
          <w:iCs/>
          <w:color w:val="0000FF"/>
        </w:rPr>
        <w:t>receptive speech</w:t>
      </w:r>
      <w:r>
        <w:t xml:space="preserve">), i.e. comprehension of auditory / visual information (visual information </w:t>
      </w:r>
      <w:r>
        <w:rPr>
          <w:lang w:val="lt-LT"/>
        </w:rPr>
        <w:t>prieš tai turi būti apdorota</w:t>
      </w:r>
      <w:r>
        <w:t xml:space="preserve"> in angular gyrus).</w:t>
      </w:r>
    </w:p>
    <w:p w:rsidR="00C62110" w:rsidRPr="005266B8" w:rsidRDefault="00C62110">
      <w:pPr>
        <w:spacing w:before="120"/>
        <w:ind w:left="720"/>
        <w:rPr>
          <w:sz w:val="15"/>
          <w:szCs w:val="15"/>
          <w:vertAlign w:val="superscript"/>
        </w:rPr>
      </w:pPr>
      <w:r w:rsidRPr="005266B8">
        <w:rPr>
          <w:i/>
          <w:iCs/>
          <w:color w:val="008000"/>
        </w:rPr>
        <w:t>Planum temporale</w:t>
      </w:r>
      <w:r w:rsidRPr="005266B8">
        <w:t xml:space="preserve"> (superior surface of temporal lobe posterior to Heschl's gyrus and extending to posterior end of sylvian fissure), is slightly larger on left (Wernicke center).</w:t>
      </w:r>
    </w:p>
    <w:p w:rsidR="00C62110" w:rsidRPr="005266B8" w:rsidRDefault="00C62110">
      <w:pPr>
        <w:spacing w:before="120"/>
        <w:ind w:left="720"/>
      </w:pPr>
      <w:r w:rsidRPr="005266B8">
        <w:rPr>
          <w:b/>
          <w:bCs/>
          <w:i/>
          <w:iCs/>
          <w:color w:val="FF6600"/>
        </w:rPr>
        <w:t>Arcuate fasciculus</w:t>
      </w:r>
      <w:r w:rsidRPr="005266B8">
        <w:t xml:space="preserve"> – projection from Wernicke to Broca.</w:t>
      </w:r>
    </w:p>
    <w:p w:rsidR="00C62110" w:rsidRDefault="00C62110">
      <w:pPr>
        <w:spacing w:before="120"/>
      </w:pPr>
      <w:r>
        <w:rPr>
          <w:b/>
          <w:bCs/>
          <w:color w:val="FF6600"/>
          <w:u w:val="single"/>
        </w:rPr>
        <w:t>Broca center</w:t>
      </w:r>
      <w:r>
        <w:rPr>
          <w:b/>
          <w:bCs/>
          <w:color w:val="FF6600"/>
        </w:rPr>
        <w:t xml:space="preserve"> </w:t>
      </w:r>
      <w:r>
        <w:t xml:space="preserve">– </w:t>
      </w:r>
      <w:r>
        <w:rPr>
          <w:b/>
          <w:bCs/>
        </w:rPr>
        <w:t>motor association cortex</w:t>
      </w:r>
      <w:r>
        <w:t xml:space="preserve"> - memory for word articulation (</w:t>
      </w:r>
      <w:r>
        <w:rPr>
          <w:i/>
          <w:iCs/>
          <w:color w:val="0000FF"/>
        </w:rPr>
        <w:t>expressive speech</w:t>
      </w:r>
      <w:r>
        <w:t>);</w:t>
      </w:r>
    </w:p>
    <w:p w:rsidR="00C62110" w:rsidRDefault="00C62110">
      <w:r>
        <w:t>processes information received from Wernicke area into detailed coordinated pattern for vocalization → projects pattern (via speech articulation area in insula) to motor cortex → appropriate movements of lips, tongue, larynx → speech.</w:t>
      </w:r>
    </w:p>
    <w:p w:rsidR="00C62110" w:rsidRDefault="00C62110">
      <w:pPr>
        <w:spacing w:before="120"/>
      </w:pPr>
      <w:r>
        <w:rPr>
          <w:b/>
          <w:bCs/>
          <w:color w:val="FF6600"/>
        </w:rPr>
        <w:t>Angular gyrus</w:t>
      </w:r>
      <w:r>
        <w:t xml:space="preserve"> (behind Wernicke area and connected to it) processes information from </w:t>
      </w:r>
      <w:r>
        <w:rPr>
          <w:b/>
          <w:bCs/>
          <w:i/>
          <w:iCs/>
        </w:rPr>
        <w:t>read words</w:t>
      </w:r>
      <w:r>
        <w:t xml:space="preserve"> in such a way that they can be converted into </w:t>
      </w:r>
      <w:r>
        <w:rPr>
          <w:b/>
          <w:bCs/>
          <w:i/>
          <w:iCs/>
        </w:rPr>
        <w:t>auditory forms</w:t>
      </w:r>
      <w:r>
        <w:t xml:space="preserve"> of words in Wernicke area.</w:t>
      </w:r>
    </w:p>
    <w:p w:rsidR="00C62110" w:rsidRDefault="00C62110" w:rsidP="00B63140">
      <w:pPr>
        <w:numPr>
          <w:ilvl w:val="0"/>
          <w:numId w:val="7"/>
        </w:numPr>
        <w:rPr>
          <w:lang w:val="lt-LT"/>
        </w:rPr>
      </w:pPr>
      <w:r>
        <w:rPr>
          <w:lang w:val="lt-LT"/>
        </w:rPr>
        <w:t xml:space="preserve">į angular gyrus patenka informacija iš </w:t>
      </w:r>
      <w:r>
        <w:rPr>
          <w:b/>
          <w:bCs/>
          <w:lang w:val="lt-LT"/>
        </w:rPr>
        <w:t>unimodal association cortices</w:t>
      </w:r>
      <w:r>
        <w:rPr>
          <w:lang w:val="lt-LT"/>
        </w:rPr>
        <w:t xml:space="preserve"> (tiek iš visual, tiek iš auditory); jei išgirstą / pamatytą žodį tereikia pakartoti, informacija iš Wernicke / </w:t>
      </w:r>
      <w:r>
        <w:t xml:space="preserve">visual association cortex </w:t>
      </w:r>
      <w:r>
        <w:rPr>
          <w:lang w:val="lt-LT"/>
        </w:rPr>
        <w:t>į Broca eina aplenkdama angular gyrus.</w:t>
      </w:r>
    </w:p>
    <w:p w:rsidR="00C62110" w:rsidRDefault="00C62110" w:rsidP="00B63140">
      <w:pPr>
        <w:numPr>
          <w:ilvl w:val="0"/>
          <w:numId w:val="7"/>
        </w:numPr>
      </w:pPr>
      <w:r>
        <w:lastRenderedPageBreak/>
        <w:t xml:space="preserve">angular gyrus is </w:t>
      </w:r>
      <w:r>
        <w:rPr>
          <w:b/>
          <w:bCs/>
        </w:rPr>
        <w:t>heteromodal association cortex</w:t>
      </w:r>
      <w:r>
        <w:t xml:space="preserve"> - semantic interpretation (meaning) and integration with other sensory modalities and passed experiences.</w:t>
      </w:r>
    </w:p>
    <w:p w:rsidR="00C62110" w:rsidRDefault="00C62110" w:rsidP="00B63140"/>
    <w:p w:rsidR="00C62110" w:rsidRDefault="001761B2" w:rsidP="00B63140">
      <w:r>
        <w:rPr>
          <w:noProof/>
        </w:rPr>
        <w:drawing>
          <wp:inline distT="0" distB="0" distL="0" distR="0">
            <wp:extent cx="5781675" cy="3257550"/>
            <wp:effectExtent l="0" t="0" r="9525" b="0"/>
            <wp:docPr id="1" name="Picture 1" descr="D:\Viktoro\Neuroscience\S. Symptoms, Signs, Syndromes\S1-3. Language, Speech, Aphasia\00. Pictures\Primary language ar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S. Symptoms, Signs, Syndromes\S1-3. Language, Speech, Aphasia\00. Pictures\Primary language are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10" w:rsidRDefault="00C62110" w:rsidP="00B63140"/>
    <w:p w:rsidR="00C62110" w:rsidRPr="00B63140" w:rsidRDefault="00C62110" w:rsidP="00B63140">
      <w:pPr>
        <w:rPr>
          <w:u w:val="single"/>
        </w:rPr>
      </w:pPr>
      <w:r w:rsidRPr="00B63140">
        <w:rPr>
          <w:u w:val="single"/>
        </w:rPr>
        <w:t>Second language &amp; Broca area</w:t>
      </w:r>
    </w:p>
    <w:p w:rsidR="00C62110" w:rsidRDefault="00C62110">
      <w:pPr>
        <w:pStyle w:val="NormalWeb"/>
        <w:numPr>
          <w:ilvl w:val="0"/>
          <w:numId w:val="4"/>
        </w:numPr>
      </w:pPr>
      <w:r>
        <w:t xml:space="preserve">if individual learns second language in </w:t>
      </w:r>
      <w:r>
        <w:rPr>
          <w:b/>
          <w:bCs/>
        </w:rPr>
        <w:t>adulthood</w:t>
      </w:r>
      <w:r>
        <w:t xml:space="preserve">, portion of Broca area </w:t>
      </w:r>
      <w:r w:rsidR="005266B8">
        <w:t>associated</w:t>
      </w:r>
      <w:r>
        <w:t xml:space="preserve"> with it is </w:t>
      </w:r>
      <w:r>
        <w:rPr>
          <w:b/>
          <w:bCs/>
          <w:i/>
          <w:iCs/>
          <w:color w:val="0000FF"/>
        </w:rPr>
        <w:t>adjacent to but separate</w:t>
      </w:r>
      <w:r>
        <w:t xml:space="preserve"> from area </w:t>
      </w:r>
      <w:r w:rsidR="005266B8">
        <w:t xml:space="preserve">associated </w:t>
      </w:r>
      <w:r>
        <w:t>with native language.</w:t>
      </w:r>
    </w:p>
    <w:p w:rsidR="00C62110" w:rsidRDefault="00C62110">
      <w:pPr>
        <w:pStyle w:val="NormalWeb"/>
        <w:numPr>
          <w:ilvl w:val="0"/>
          <w:numId w:val="4"/>
        </w:numPr>
      </w:pPr>
      <w:r>
        <w:t xml:space="preserve">in </w:t>
      </w:r>
      <w:r>
        <w:rPr>
          <w:b/>
          <w:bCs/>
        </w:rPr>
        <w:t>children</w:t>
      </w:r>
      <w:r>
        <w:t xml:space="preserve"> who learn two languages </w:t>
      </w:r>
      <w:r>
        <w:rPr>
          <w:b/>
          <w:bCs/>
        </w:rPr>
        <w:t>early in life</w:t>
      </w:r>
      <w:r>
        <w:t xml:space="preserve">, there is only </w:t>
      </w:r>
      <w:r>
        <w:rPr>
          <w:b/>
          <w:bCs/>
          <w:i/>
          <w:iCs/>
          <w:color w:val="0000FF"/>
        </w:rPr>
        <w:t>single</w:t>
      </w:r>
      <w:r>
        <w:t xml:space="preserve"> area involved with both (children acquire fluency in second language more easily than adults!).</w:t>
      </w:r>
    </w:p>
    <w:p w:rsidR="00C62110" w:rsidRDefault="00C62110"/>
    <w:p w:rsidR="00B63140" w:rsidRDefault="00B63140"/>
    <w:p w:rsidR="00C62110" w:rsidRDefault="00C62110">
      <w:pPr>
        <w:spacing w:after="120"/>
        <w:rPr>
          <w:b/>
          <w:bCs/>
          <w:u w:val="thick" w:color="FF0000"/>
        </w:rPr>
      </w:pPr>
      <w:r>
        <w:rPr>
          <w:b/>
          <w:bCs/>
          <w:caps/>
          <w:u w:val="thick" w:color="FF0000"/>
        </w:rPr>
        <w:t>Wernicke-geschwind</w:t>
      </w:r>
      <w:r>
        <w:rPr>
          <w:b/>
          <w:bCs/>
          <w:u w:val="thick" w:color="FF0000"/>
        </w:rPr>
        <w:t xml:space="preserve"> model </w:t>
      </w:r>
      <w:r>
        <w:rPr>
          <w:u w:val="thick" w:color="FF0000"/>
        </w:rPr>
        <w:t>for language &amp; gestures</w:t>
      </w:r>
    </w:p>
    <w:p w:rsidR="00C62110" w:rsidRDefault="00C62110">
      <w:pPr>
        <w:rPr>
          <w:u w:val="single"/>
        </w:rPr>
      </w:pPr>
      <w:r>
        <w:rPr>
          <w:u w:val="single"/>
        </w:rPr>
        <w:t xml:space="preserve">Person </w:t>
      </w:r>
      <w:r>
        <w:rPr>
          <w:b/>
          <w:bCs/>
          <w:u w:val="single"/>
        </w:rPr>
        <w:t>names visual object</w:t>
      </w:r>
      <w:r>
        <w:rPr>
          <w:u w:val="single"/>
        </w:rPr>
        <w:t>:</w:t>
      </w:r>
    </w:p>
    <w:p w:rsidR="00C62110" w:rsidRDefault="001761B2">
      <w:pPr>
        <w:pStyle w:val="Header"/>
        <w:tabs>
          <w:tab w:val="clear" w:pos="4320"/>
        </w:tabs>
      </w:pPr>
      <w:r>
        <w:rPr>
          <w:noProof/>
        </w:rPr>
        <w:drawing>
          <wp:inline distT="0" distB="0" distL="0" distR="0">
            <wp:extent cx="3362325" cy="3257550"/>
            <wp:effectExtent l="0" t="0" r="9525" b="0"/>
            <wp:docPr id="2" name="Picture 2" descr="D:\Viktoro\Neuroscience\S. Symptoms, Signs, Syndromes\S1-3. Language, Speech, Aphasia\00. Pictures\Wernicke-Geschwind mod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S. Symptoms, Signs, Syndromes\S1-3. Language, Speech, Aphasia\00. Pictures\Wernicke-Geschwind model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10" w:rsidRDefault="00C62110">
      <w:pPr>
        <w:pStyle w:val="Header"/>
        <w:tabs>
          <w:tab w:val="clear" w:pos="4320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60"/>
        <w:gridCol w:w="4462"/>
      </w:tblGrid>
      <w:tr w:rsidR="00C62110">
        <w:tc>
          <w:tcPr>
            <w:tcW w:w="5495" w:type="dxa"/>
          </w:tcPr>
          <w:p w:rsidR="00C62110" w:rsidRDefault="00C62110">
            <w:pPr>
              <w:rPr>
                <w:u w:val="single"/>
              </w:rPr>
            </w:pPr>
            <w:r>
              <w:rPr>
                <w:u w:val="single"/>
              </w:rPr>
              <w:t xml:space="preserve">Person is asked to </w:t>
            </w:r>
            <w:r>
              <w:rPr>
                <w:b/>
                <w:bCs/>
                <w:u w:val="single"/>
              </w:rPr>
              <w:t>raise right hand</w:t>
            </w:r>
            <w:r>
              <w:rPr>
                <w:u w:val="single"/>
              </w:rPr>
              <w:t>:</w:t>
            </w:r>
          </w:p>
        </w:tc>
        <w:tc>
          <w:tcPr>
            <w:tcW w:w="4643" w:type="dxa"/>
          </w:tcPr>
          <w:p w:rsidR="00C62110" w:rsidRDefault="00C62110">
            <w:pPr>
              <w:rPr>
                <w:u w:val="single"/>
              </w:rPr>
            </w:pPr>
            <w:r>
              <w:rPr>
                <w:u w:val="single"/>
              </w:rPr>
              <w:t xml:space="preserve">Person is asked to </w:t>
            </w:r>
            <w:r>
              <w:rPr>
                <w:b/>
                <w:bCs/>
                <w:u w:val="single"/>
              </w:rPr>
              <w:t>raise left hand</w:t>
            </w:r>
            <w:r>
              <w:rPr>
                <w:u w:val="single"/>
              </w:rPr>
              <w:t>:</w:t>
            </w:r>
          </w:p>
        </w:tc>
      </w:tr>
      <w:tr w:rsidR="00C62110">
        <w:tc>
          <w:tcPr>
            <w:tcW w:w="5495" w:type="dxa"/>
          </w:tcPr>
          <w:p w:rsidR="00C62110" w:rsidRDefault="001761B2">
            <w:pPr>
              <w:pStyle w:val="Header"/>
              <w:tabs>
                <w:tab w:val="clear" w:pos="4320"/>
              </w:tabs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19450" cy="2695575"/>
                  <wp:effectExtent l="0" t="0" r="0" b="9525"/>
                  <wp:docPr id="3" name="Picture 3" descr="D:\Viktoro\Neuroscience\S. Symptoms, Signs, Syndromes\S1-3. Language, Speech, Aphasia\00. Pictures\Wernicke-Geschwind mode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Viktoro\Neuroscience\S. Symptoms, Signs, Syndromes\S1-3. Language, Speech, Aphasia\00. Pictures\Wernicke-Geschwind model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C62110" w:rsidRDefault="001761B2">
            <w:pPr>
              <w:pStyle w:val="Header"/>
              <w:tabs>
                <w:tab w:val="clear" w:pos="4320"/>
              </w:tabs>
            </w:pPr>
            <w:r>
              <w:rPr>
                <w:noProof/>
              </w:rPr>
              <w:drawing>
                <wp:inline distT="0" distB="0" distL="0" distR="0">
                  <wp:extent cx="2133600" cy="2647950"/>
                  <wp:effectExtent l="0" t="0" r="0" b="0"/>
                  <wp:docPr id="4" name="Picture 4" descr="D:\Viktoro\Neuroscience\S. Symptoms, Signs, Syndromes\S1-3. Language, Speech, Aphasia\00. Pictures\Wernicke-Geschwind model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Viktoro\Neuroscience\S. Symptoms, Signs, Syndromes\S1-3. Language, Speech, Aphasia\00. Pictures\Wernicke-Geschwind model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110" w:rsidRDefault="00C62110">
      <w:pPr>
        <w:pStyle w:val="Header"/>
        <w:tabs>
          <w:tab w:val="clear" w:pos="4320"/>
        </w:tabs>
      </w:pPr>
    </w:p>
    <w:p w:rsidR="00C62110" w:rsidRDefault="00C62110">
      <w:pPr>
        <w:pStyle w:val="Header"/>
        <w:tabs>
          <w:tab w:val="clear" w:pos="4320"/>
        </w:tabs>
      </w:pPr>
    </w:p>
    <w:p w:rsidR="00C62110" w:rsidRDefault="00C62110">
      <w:pPr>
        <w:rPr>
          <w:lang w:val="lt-LT"/>
        </w:rPr>
      </w:pPr>
      <w:r>
        <w:rPr>
          <w:lang w:val="lt-LT"/>
        </w:rPr>
        <w:t xml:space="preserve">N.B. norint pagal komandą pakelti kairę ranką, reikalingas </w:t>
      </w:r>
      <w:r>
        <w:rPr>
          <w:smallCaps/>
          <w:lang w:val="lt-LT"/>
        </w:rPr>
        <w:t>corpus callosum</w:t>
      </w:r>
    </w:p>
    <w:p w:rsidR="00C62110" w:rsidRDefault="00C62110">
      <w:pPr>
        <w:ind w:left="720"/>
        <w:rPr>
          <w:lang w:val="lt-LT"/>
        </w:rPr>
      </w:pPr>
      <w:r>
        <w:rPr>
          <w:lang w:val="lt-LT"/>
        </w:rPr>
        <w:t xml:space="preserve">(jei jis pažeistas → kairės rankos </w:t>
      </w:r>
      <w:r>
        <w:rPr>
          <w:b/>
          <w:bCs/>
          <w:color w:val="FF0000"/>
          <w:lang w:val="lt-LT"/>
        </w:rPr>
        <w:t>ideomotorinė apraksija</w:t>
      </w:r>
      <w:r>
        <w:rPr>
          <w:lang w:val="lt-LT"/>
        </w:rPr>
        <w:t>).</w:t>
      </w:r>
    </w:p>
    <w:p w:rsidR="00C62110" w:rsidRDefault="00C62110"/>
    <w:p w:rsidR="00C62110" w:rsidRDefault="00C62110">
      <w:pPr>
        <w:spacing w:after="120"/>
        <w:rPr>
          <w:u w:val="single"/>
        </w:rPr>
      </w:pPr>
      <w:r>
        <w:rPr>
          <w:u w:val="single"/>
        </w:rPr>
        <w:t>PET of left cerebral hemisphere:</w:t>
      </w:r>
    </w:p>
    <w:p w:rsidR="00C62110" w:rsidRDefault="00C62110">
      <w:r>
        <w:rPr>
          <w:b/>
          <w:bCs/>
        </w:rPr>
        <w:t>A:</w:t>
      </w:r>
      <w:r>
        <w:t xml:space="preserve"> </w:t>
      </w:r>
      <w:r>
        <w:rPr>
          <w:b/>
          <w:bCs/>
        </w:rPr>
        <w:t>Looking at words</w:t>
      </w:r>
      <w:r>
        <w:t xml:space="preserve"> activates </w:t>
      </w:r>
      <w:r>
        <w:rPr>
          <w:i/>
          <w:iCs/>
        </w:rPr>
        <w:t>primary visual cortex</w:t>
      </w:r>
      <w:r>
        <w:t xml:space="preserve"> and part of </w:t>
      </w:r>
      <w:r>
        <w:rPr>
          <w:i/>
          <w:iCs/>
        </w:rPr>
        <w:t>visual association cortex</w:t>
      </w:r>
      <w:r>
        <w:t>.</w:t>
      </w:r>
    </w:p>
    <w:p w:rsidR="00C62110" w:rsidRDefault="00C62110">
      <w:r>
        <w:rPr>
          <w:b/>
          <w:bCs/>
        </w:rPr>
        <w:t>B:</w:t>
      </w:r>
      <w:r>
        <w:t xml:space="preserve"> </w:t>
      </w:r>
      <w:r>
        <w:rPr>
          <w:b/>
          <w:bCs/>
        </w:rPr>
        <w:t>Listening to words</w:t>
      </w:r>
      <w:r>
        <w:t xml:space="preserve"> activates area at </w:t>
      </w:r>
      <w:r>
        <w:rPr>
          <w:i/>
          <w:iCs/>
        </w:rPr>
        <w:t>junction of temporal and parietal cortex</w:t>
      </w:r>
      <w:r>
        <w:t>.</w:t>
      </w:r>
    </w:p>
    <w:p w:rsidR="00C62110" w:rsidRDefault="00C62110">
      <w:r>
        <w:rPr>
          <w:b/>
          <w:bCs/>
        </w:rPr>
        <w:t>C:</w:t>
      </w:r>
      <w:r>
        <w:t xml:space="preserve"> </w:t>
      </w:r>
      <w:r>
        <w:rPr>
          <w:b/>
          <w:bCs/>
        </w:rPr>
        <w:t>Speaking words</w:t>
      </w:r>
      <w:r>
        <w:t xml:space="preserve"> activated </w:t>
      </w:r>
      <w:r>
        <w:rPr>
          <w:i/>
          <w:iCs/>
        </w:rPr>
        <w:t>Broca's area</w:t>
      </w:r>
      <w:r>
        <w:t xml:space="preserve"> and adjacent frontal lobe.</w:t>
      </w:r>
    </w:p>
    <w:p w:rsidR="00C62110" w:rsidRDefault="00C62110">
      <w:r>
        <w:rPr>
          <w:b/>
          <w:bCs/>
        </w:rPr>
        <w:t>D:</w:t>
      </w:r>
      <w:r>
        <w:t xml:space="preserve"> </w:t>
      </w:r>
      <w:r>
        <w:rPr>
          <w:b/>
          <w:bCs/>
        </w:rPr>
        <w:t>Thinking about words</w:t>
      </w:r>
      <w:r>
        <w:t xml:space="preserve"> activates </w:t>
      </w:r>
      <w:r>
        <w:rPr>
          <w:i/>
          <w:iCs/>
        </w:rPr>
        <w:t>large areas</w:t>
      </w:r>
      <w:r>
        <w:t xml:space="preserve"> (including much of frontal lobe).</w:t>
      </w:r>
    </w:p>
    <w:p w:rsidR="00C62110" w:rsidRDefault="00C62110"/>
    <w:p w:rsidR="00C62110" w:rsidRDefault="001761B2">
      <w:pPr>
        <w:jc w:val="center"/>
      </w:pPr>
      <w:r>
        <w:rPr>
          <w:noProof/>
        </w:rPr>
        <w:drawing>
          <wp:inline distT="0" distB="0" distL="0" distR="0">
            <wp:extent cx="3409950" cy="2400300"/>
            <wp:effectExtent l="0" t="0" r="0" b="0"/>
            <wp:docPr id="5" name="Picture 5" descr="D:\Viktoro\Neuroscience\S. Symptoms, Signs, Syndromes\S1-3. Language, Speech, Aphasia\00. Pictures\LANGE (Ganong Physiology) 16-1 (PE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iktoro\Neuroscience\S. Symptoms, Signs, Syndromes\S1-3. Language, Speech, Aphasia\00. Pictures\LANGE (Ganong Physiology) 16-1 (PET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10" w:rsidRDefault="00C62110"/>
    <w:p w:rsidR="00C62110" w:rsidRDefault="00C62110">
      <w:pPr>
        <w:pStyle w:val="Title"/>
      </w:pPr>
    </w:p>
    <w:p w:rsidR="001761B2" w:rsidRDefault="001761B2">
      <w:pPr>
        <w:pStyle w:val="Title"/>
      </w:pPr>
    </w:p>
    <w:p w:rsidR="00C62110" w:rsidRDefault="00C62110" w:rsidP="001761B2">
      <w:pPr>
        <w:pStyle w:val="Antrat"/>
      </w:pPr>
      <w:bookmarkStart w:id="3" w:name="_Toc5998468"/>
      <w:r>
        <w:t>Disorders</w:t>
      </w:r>
      <w:bookmarkEnd w:id="3"/>
    </w:p>
    <w:p w:rsidR="001B0BDC" w:rsidRDefault="001B0BDC" w:rsidP="001B0BDC">
      <w:pPr>
        <w:spacing w:line="240" w:lineRule="atLeast"/>
      </w:pPr>
      <w:r w:rsidRPr="001B0BDC">
        <w:rPr>
          <w:u w:val="single"/>
        </w:rPr>
        <w:t xml:space="preserve">If patient cannot talk properly consider </w:t>
      </w:r>
      <w:r w:rsidRPr="001B0BDC">
        <w:rPr>
          <w:highlight w:val="yellow"/>
          <w:u w:val="single"/>
        </w:rPr>
        <w:t>five Ds</w:t>
      </w:r>
      <w:r>
        <w:t>:</w:t>
      </w:r>
    </w:p>
    <w:p w:rsidR="001B0BDC" w:rsidRDefault="001B0BDC" w:rsidP="001B0BDC">
      <w:pPr>
        <w:numPr>
          <w:ilvl w:val="0"/>
          <w:numId w:val="6"/>
        </w:numPr>
        <w:spacing w:line="240" w:lineRule="atLeast"/>
      </w:pPr>
      <w:r>
        <w:t>Deafness</w:t>
      </w:r>
    </w:p>
    <w:p w:rsidR="001B0BDC" w:rsidRDefault="001B0BDC" w:rsidP="001B0BDC">
      <w:pPr>
        <w:numPr>
          <w:ilvl w:val="0"/>
          <w:numId w:val="6"/>
        </w:numPr>
        <w:spacing w:line="240" w:lineRule="atLeast"/>
      </w:pPr>
      <w:r>
        <w:t>Dementia</w:t>
      </w:r>
    </w:p>
    <w:p w:rsidR="001B0BDC" w:rsidRDefault="001B0BDC" w:rsidP="001B0BDC">
      <w:pPr>
        <w:numPr>
          <w:ilvl w:val="0"/>
          <w:numId w:val="6"/>
        </w:numPr>
        <w:spacing w:line="240" w:lineRule="atLeast"/>
      </w:pPr>
      <w:r>
        <w:t>Dysphasia</w:t>
      </w:r>
    </w:p>
    <w:p w:rsidR="001B0BDC" w:rsidRDefault="001B0BDC" w:rsidP="001B0BDC">
      <w:pPr>
        <w:numPr>
          <w:ilvl w:val="0"/>
          <w:numId w:val="6"/>
        </w:numPr>
        <w:spacing w:line="240" w:lineRule="atLeast"/>
      </w:pPr>
      <w:r>
        <w:t>Dysarthria</w:t>
      </w:r>
    </w:p>
    <w:p w:rsidR="001B0BDC" w:rsidRDefault="001B0BDC" w:rsidP="001B0BDC">
      <w:pPr>
        <w:numPr>
          <w:ilvl w:val="0"/>
          <w:numId w:val="6"/>
        </w:numPr>
        <w:spacing w:line="240" w:lineRule="atLeast"/>
      </w:pPr>
      <w:r>
        <w:t>Dysphonia.</w:t>
      </w:r>
    </w:p>
    <w:p w:rsidR="001B0BDC" w:rsidRPr="001B0BDC" w:rsidRDefault="001B0BDC" w:rsidP="001B0BDC">
      <w:pPr>
        <w:spacing w:line="240" w:lineRule="atLeast"/>
      </w:pPr>
    </w:p>
    <w:p w:rsidR="00C62110" w:rsidRDefault="00C62110">
      <w:pPr>
        <w:numPr>
          <w:ilvl w:val="0"/>
          <w:numId w:val="2"/>
        </w:numPr>
        <w:spacing w:line="240" w:lineRule="atLeast"/>
      </w:pPr>
      <w:r>
        <w:rPr>
          <w:b/>
          <w:bCs/>
          <w:color w:val="0000FF"/>
        </w:rPr>
        <w:t>Language disorders</w:t>
      </w:r>
      <w:r w:rsidR="00E0408E">
        <w:t xml:space="preserve"> </w:t>
      </w:r>
      <w:r>
        <w:t xml:space="preserve">– </w:t>
      </w:r>
      <w:r>
        <w:rPr>
          <w:lang w:val="lt-LT"/>
        </w:rPr>
        <w:t xml:space="preserve">kalbos, kaip </w:t>
      </w:r>
      <w:r>
        <w:rPr>
          <w:i/>
          <w:iCs/>
          <w:color w:val="993300"/>
        </w:rPr>
        <w:t>bendravimo priemonės</w:t>
      </w:r>
      <w:r>
        <w:rPr>
          <w:lang w:val="lt-LT"/>
        </w:rPr>
        <w:t>, sutrikimas.</w:t>
      </w:r>
      <w:r w:rsidR="00E0408E">
        <w:rPr>
          <w:lang w:val="lt-LT"/>
        </w:rPr>
        <w:t xml:space="preserve"> </w:t>
      </w:r>
      <w:r w:rsidR="00E0408E" w:rsidRPr="00E0408E">
        <w:rPr>
          <w:color w:val="808080"/>
        </w:rPr>
        <w:t>see S2 p.</w:t>
      </w:r>
    </w:p>
    <w:p w:rsidR="00C62110" w:rsidRDefault="00C62110" w:rsidP="00C62110">
      <w:pPr>
        <w:numPr>
          <w:ilvl w:val="0"/>
          <w:numId w:val="2"/>
        </w:numPr>
        <w:spacing w:before="120" w:line="240" w:lineRule="atLeast"/>
        <w:ind w:left="357" w:hanging="357"/>
      </w:pPr>
      <w:r>
        <w:rPr>
          <w:b/>
          <w:bCs/>
          <w:color w:val="0000FF"/>
        </w:rPr>
        <w:t>Speech disorders</w:t>
      </w:r>
      <w:r w:rsidR="00E0408E">
        <w:t xml:space="preserve"> – </w:t>
      </w:r>
      <w:r>
        <w:t>mechanical disorders of oral communication:</w:t>
      </w:r>
      <w:r w:rsidR="00E0408E">
        <w:t xml:space="preserve"> </w:t>
      </w:r>
      <w:r w:rsidR="00E0408E" w:rsidRPr="00E0408E">
        <w:rPr>
          <w:color w:val="808080"/>
        </w:rPr>
        <w:t>see S3 p.</w:t>
      </w:r>
    </w:p>
    <w:p w:rsidR="00C62110" w:rsidRDefault="00C62110">
      <w:pPr>
        <w:spacing w:line="240" w:lineRule="atLeast"/>
        <w:ind w:left="1440"/>
      </w:pPr>
      <w:r>
        <w:rPr>
          <w:b/>
          <w:smallCaps/>
        </w:rPr>
        <w:t>dysphonia</w:t>
      </w:r>
      <w:r>
        <w:t xml:space="preserve"> – disturbance in </w:t>
      </w:r>
      <w:r>
        <w:rPr>
          <w:i/>
          <w:iCs/>
          <w:color w:val="993300"/>
        </w:rPr>
        <w:t>phonation-vocalization</w:t>
      </w:r>
      <w:r>
        <w:t xml:space="preserve"> (voice production).</w:t>
      </w:r>
    </w:p>
    <w:p w:rsidR="00C62110" w:rsidRDefault="00C62110">
      <w:pPr>
        <w:spacing w:line="240" w:lineRule="atLeast"/>
        <w:ind w:left="1440"/>
      </w:pPr>
      <w:r>
        <w:rPr>
          <w:b/>
          <w:smallCaps/>
        </w:rPr>
        <w:t>dysarthria</w:t>
      </w:r>
      <w:r>
        <w:t xml:space="preserve"> – disturbance in </w:t>
      </w:r>
      <w:r>
        <w:rPr>
          <w:i/>
          <w:iCs/>
          <w:color w:val="993300"/>
        </w:rPr>
        <w:t>articulation</w:t>
      </w:r>
      <w:r>
        <w:t xml:space="preserve"> of individual sounds.</w:t>
      </w:r>
    </w:p>
    <w:p w:rsidR="00C62110" w:rsidRDefault="00C62110"/>
    <w:p w:rsidR="001761B2" w:rsidRDefault="001761B2"/>
    <w:p w:rsidR="00B74B43" w:rsidRDefault="00B74B43"/>
    <w:p w:rsidR="00B74B43" w:rsidRDefault="00B74B43"/>
    <w:p w:rsidR="001761B2" w:rsidRPr="00273F8C" w:rsidRDefault="001761B2" w:rsidP="001761B2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</w:p>
    <w:p w:rsidR="001761B2" w:rsidRDefault="001761B2" w:rsidP="001761B2">
      <w:pPr>
        <w:rPr>
          <w:sz w:val="20"/>
        </w:rPr>
      </w:pPr>
      <w:r>
        <w:rPr>
          <w:sz w:val="20"/>
        </w:rPr>
        <w:t>NMS Neuroanatomy 1998</w:t>
      </w:r>
    </w:p>
    <w:p w:rsidR="001761B2" w:rsidRDefault="001761B2" w:rsidP="001761B2">
      <w:pPr>
        <w:rPr>
          <w:sz w:val="20"/>
        </w:rPr>
      </w:pPr>
      <w:r>
        <w:rPr>
          <w:sz w:val="20"/>
        </w:rPr>
        <w:t>Ganong “Review of Medical Physiology”, 2002</w:t>
      </w:r>
    </w:p>
    <w:p w:rsidR="001761B2" w:rsidRDefault="001761B2" w:rsidP="001761B2">
      <w:pPr>
        <w:rPr>
          <w:sz w:val="20"/>
        </w:rPr>
      </w:pPr>
      <w:r>
        <w:rPr>
          <w:sz w:val="20"/>
        </w:rPr>
        <w:t>“The Merck Manual”, 17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1999</w:t>
      </w:r>
    </w:p>
    <w:p w:rsidR="001761B2" w:rsidRDefault="001761B2" w:rsidP="001761B2">
      <w:pPr>
        <w:rPr>
          <w:sz w:val="20"/>
        </w:rPr>
      </w:pPr>
      <w:r>
        <w:rPr>
          <w:sz w:val="20"/>
        </w:rPr>
        <w:t>Goldman “Cecil Textbook of Medicine”, 21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2000 (2040-2042 p.)</w:t>
      </w:r>
    </w:p>
    <w:p w:rsidR="001761B2" w:rsidRDefault="001761B2" w:rsidP="001761B2">
      <w:pPr>
        <w:rPr>
          <w:sz w:val="20"/>
        </w:rPr>
      </w:pPr>
      <w:r>
        <w:rPr>
          <w:sz w:val="20"/>
        </w:rPr>
        <w:t>McPhee, Lingappa, Ganong  “LANGE Pathophysiology of Disease”, 2002</w:t>
      </w:r>
    </w:p>
    <w:p w:rsidR="001761B2" w:rsidRDefault="001761B2" w:rsidP="001761B2">
      <w:pPr>
        <w:rPr>
          <w:sz w:val="20"/>
        </w:rPr>
      </w:pPr>
      <w:r>
        <w:rPr>
          <w:sz w:val="20"/>
        </w:rPr>
        <w:t>Weiner “Neurology (House Officer Series)”, 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1994 (P9-P15 p.)</w:t>
      </w:r>
    </w:p>
    <w:p w:rsidR="001761B2" w:rsidRDefault="001761B2" w:rsidP="001761B2">
      <w:pPr>
        <w:rPr>
          <w:sz w:val="20"/>
        </w:rPr>
      </w:pPr>
      <w:r>
        <w:rPr>
          <w:sz w:val="20"/>
        </w:rPr>
        <w:t>Goetz “Textbook of Clinical Neurology”,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1999 (70-89 p.)</w:t>
      </w:r>
    </w:p>
    <w:p w:rsidR="001761B2" w:rsidRDefault="001761B2" w:rsidP="001761B2">
      <w:pPr>
        <w:rPr>
          <w:sz w:val="20"/>
        </w:rPr>
      </w:pPr>
      <w:r>
        <w:rPr>
          <w:sz w:val="20"/>
        </w:rPr>
        <w:t>Rowland “Merritt's Textbook of Neurology”, 9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1995 (8-10 p.)</w:t>
      </w:r>
    </w:p>
    <w:p w:rsidR="001761B2" w:rsidRDefault="001761B2" w:rsidP="001761B2">
      <w:pPr>
        <w:rPr>
          <w:sz w:val="20"/>
        </w:rPr>
      </w:pPr>
    </w:p>
    <w:p w:rsidR="001761B2" w:rsidRDefault="001761B2" w:rsidP="001761B2">
      <w:pPr>
        <w:pBdr>
          <w:bottom w:val="single" w:sz="4" w:space="1" w:color="auto"/>
        </w:pBdr>
        <w:ind w:right="57"/>
        <w:rPr>
          <w:sz w:val="20"/>
        </w:rPr>
      </w:pPr>
    </w:p>
    <w:p w:rsidR="001761B2" w:rsidRPr="00B806B3" w:rsidRDefault="001761B2" w:rsidP="001761B2">
      <w:pPr>
        <w:pBdr>
          <w:bottom w:val="single" w:sz="4" w:space="1" w:color="auto"/>
        </w:pBdr>
        <w:ind w:right="57"/>
        <w:rPr>
          <w:sz w:val="20"/>
        </w:rPr>
      </w:pPr>
    </w:p>
    <w:p w:rsidR="001761B2" w:rsidRDefault="00C9473D" w:rsidP="001761B2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2" w:tgtFrame="_blank" w:history="1">
        <w:r w:rsidR="001761B2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1761B2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1761B2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1761B2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1761B2" w:rsidRPr="001761B2" w:rsidRDefault="00C9473D" w:rsidP="001761B2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3" w:tgtFrame="_blank" w:history="1">
        <w:r w:rsidR="001761B2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Start w:id="4" w:name="Bibliography"/>
      <w:bookmarkEnd w:id="4"/>
      <w:bookmarkEnd w:id="0"/>
    </w:p>
    <w:sectPr w:rsidR="001761B2" w:rsidRPr="001761B2" w:rsidSect="000E3D99">
      <w:headerReference w:type="default" r:id="rId14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1D8" w:rsidRDefault="005351D8">
      <w:r>
        <w:separator/>
      </w:r>
    </w:p>
  </w:endnote>
  <w:endnote w:type="continuationSeparator" w:id="0">
    <w:p w:rsidR="005351D8" w:rsidRDefault="0053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1D8" w:rsidRDefault="005351D8">
      <w:r>
        <w:separator/>
      </w:r>
    </w:p>
  </w:footnote>
  <w:footnote w:type="continuationSeparator" w:id="0">
    <w:p w:rsidR="005351D8" w:rsidRDefault="0053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B2" w:rsidRPr="00D64E7F" w:rsidRDefault="001761B2" w:rsidP="001761B2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88B5EF" wp14:editId="57B86059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6" name="Picture 6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Language, Speech</w:t>
    </w:r>
    <w:r>
      <w:rPr>
        <w:b/>
        <w:bCs/>
        <w:iCs/>
        <w:smallCaps/>
      </w:rPr>
      <w:tab/>
    </w:r>
    <w:r>
      <w:t>S1 (</w:t>
    </w:r>
    <w:r>
      <w:fldChar w:fldCharType="begin"/>
    </w:r>
    <w:r>
      <w:instrText xml:space="preserve"> PAGE </w:instrText>
    </w:r>
    <w:r>
      <w:fldChar w:fldCharType="separate"/>
    </w:r>
    <w:r w:rsidR="00C9473D">
      <w:rPr>
        <w:noProof/>
      </w:rPr>
      <w:t>3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4FC"/>
    <w:multiLevelType w:val="hybridMultilevel"/>
    <w:tmpl w:val="A6AC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50C7"/>
    <w:multiLevelType w:val="hybridMultilevel"/>
    <w:tmpl w:val="2CDC4AF8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019222C"/>
    <w:multiLevelType w:val="hybridMultilevel"/>
    <w:tmpl w:val="4B903D00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1FD23AF"/>
    <w:multiLevelType w:val="hybridMultilevel"/>
    <w:tmpl w:val="4AA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836B41"/>
    <w:multiLevelType w:val="singleLevel"/>
    <w:tmpl w:val="D442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8BB6339"/>
    <w:multiLevelType w:val="hybridMultilevel"/>
    <w:tmpl w:val="BEFEAFE4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F6C1C86"/>
    <w:multiLevelType w:val="hybridMultilevel"/>
    <w:tmpl w:val="F230D45C"/>
    <w:lvl w:ilvl="0" w:tplc="8D462BE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8E"/>
    <w:rsid w:val="000E3D99"/>
    <w:rsid w:val="001761B2"/>
    <w:rsid w:val="001B0BDC"/>
    <w:rsid w:val="002E67D7"/>
    <w:rsid w:val="00435417"/>
    <w:rsid w:val="00496628"/>
    <w:rsid w:val="005013FE"/>
    <w:rsid w:val="005266B8"/>
    <w:rsid w:val="005351D8"/>
    <w:rsid w:val="00594E6F"/>
    <w:rsid w:val="00686F6F"/>
    <w:rsid w:val="007A511A"/>
    <w:rsid w:val="008263EF"/>
    <w:rsid w:val="00865AF9"/>
    <w:rsid w:val="009D506E"/>
    <w:rsid w:val="00AF6CDF"/>
    <w:rsid w:val="00B60AA8"/>
    <w:rsid w:val="00B63140"/>
    <w:rsid w:val="00B74B43"/>
    <w:rsid w:val="00C62110"/>
    <w:rsid w:val="00C9473D"/>
    <w:rsid w:val="00D2723A"/>
    <w:rsid w:val="00DC7BEC"/>
    <w:rsid w:val="00E0408E"/>
    <w:rsid w:val="00E178F1"/>
    <w:rsid w:val="00EF028E"/>
    <w:rsid w:val="00F87308"/>
    <w:rsid w:val="00F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</o:shapedefaults>
    <o:shapelayout v:ext="edit">
      <o:idmap v:ext="edit" data="1"/>
    </o:shapelayout>
  </w:shapeDefaults>
  <w:decimalSymbol w:val="."/>
  <w:listSeparator w:val=","/>
  <w15:chartTrackingRefBased/>
  <w15:docId w15:val="{FAAC2D2A-9587-4902-ADE3-6422CEB1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B2"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u w:val="doub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aps/>
    </w:rPr>
  </w:style>
  <w:style w:type="paragraph" w:styleId="Heading6">
    <w:name w:val="heading 6"/>
    <w:basedOn w:val="Normal"/>
    <w:next w:val="Normal"/>
    <w:qFormat/>
    <w:pPr>
      <w:keepNext/>
      <w:widowControl w:val="0"/>
      <w:spacing w:line="240" w:lineRule="atLeast"/>
      <w:outlineLvl w:val="5"/>
    </w:pPr>
    <w:rPr>
      <w:b/>
      <w:lang w:val="en-AU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b/>
      <w:bCs/>
      <w:caps/>
      <w:sz w:val="32"/>
      <w:lang w:val="lt-LT"/>
    </w:rPr>
  </w:style>
  <w:style w:type="paragraph" w:styleId="Heading8">
    <w:name w:val="heading 8"/>
    <w:basedOn w:val="Normal"/>
    <w:next w:val="Normal"/>
    <w:qFormat/>
    <w:rsid w:val="00EF028E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EF02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1761B2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EF028E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1761B2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EF028E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EF028E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1761B2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1761B2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1761B2"/>
    <w:rPr>
      <w:b/>
      <w:caps/>
      <w:sz w:val="28"/>
      <w:u w:val="double"/>
    </w:rPr>
  </w:style>
  <w:style w:type="paragraph" w:styleId="NormalWeb">
    <w:name w:val="Normal (Web)"/>
    <w:basedOn w:val="Normal"/>
    <w:uiPriority w:val="99"/>
    <w:unhideWhenUsed/>
    <w:rsid w:val="001761B2"/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uiPriority w:val="99"/>
    <w:rsid w:val="00EF028E"/>
    <w:rPr>
      <w:color w:val="999999"/>
      <w:u w:val="none"/>
    </w:rPr>
  </w:style>
  <w:style w:type="character" w:styleId="PageNumber">
    <w:name w:val="page number"/>
    <w:basedOn w:val="DefaultParagraphFont"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EF028E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headbreak">
    <w:name w:val="headbrea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26"/>
      <w:szCs w:val="26"/>
      <w:lang w:val="en-GB"/>
    </w:rPr>
  </w:style>
  <w:style w:type="character" w:styleId="HTMLCite">
    <w:name w:val="HTML Cite"/>
    <w:basedOn w:val="DefaultParagraphFont"/>
    <w:rPr>
      <w:i/>
      <w:iCs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1761B2"/>
    <w:pPr>
      <w:spacing w:before="240"/>
      <w:jc w:val="center"/>
    </w:pPr>
    <w:rPr>
      <w:b/>
      <w:bCs/>
      <w:i/>
      <w:iCs/>
      <w:sz w:val="44"/>
    </w:rPr>
  </w:style>
  <w:style w:type="paragraph" w:styleId="BodyText">
    <w:name w:val="Body Text"/>
    <w:basedOn w:val="Normal"/>
    <w:rPr>
      <w:b/>
      <w:bCs/>
      <w:sz w:val="28"/>
    </w:rPr>
  </w:style>
  <w:style w:type="paragraph" w:styleId="BodyTextIndent2">
    <w:name w:val="Body Text Indent 2"/>
    <w:basedOn w:val="Normal"/>
    <w:pPr>
      <w:ind w:left="2160"/>
    </w:pPr>
  </w:style>
  <w:style w:type="paragraph" w:customStyle="1" w:styleId="Nervous4">
    <w:name w:val="Nervous4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5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120"/>
    </w:pPr>
    <w:rPr>
      <w:b/>
      <w:bCs/>
      <w:caps/>
      <w:sz w:val="28"/>
    </w:rPr>
  </w:style>
  <w:style w:type="paragraph" w:styleId="BodyTextIndent3">
    <w:name w:val="Body Text Indent 3"/>
    <w:basedOn w:val="Normal"/>
    <w:pPr>
      <w:ind w:left="1440"/>
    </w:pPr>
  </w:style>
  <w:style w:type="paragraph" w:styleId="BodyText2">
    <w:name w:val="Body Text 2"/>
    <w:basedOn w:val="Normal"/>
    <w:pPr>
      <w:jc w:val="center"/>
    </w:pPr>
    <w:rPr>
      <w:lang w:val="lt-LT"/>
    </w:rPr>
  </w:style>
  <w:style w:type="paragraph" w:styleId="BodyText3">
    <w:name w:val="Body Text 3"/>
    <w:basedOn w:val="Normal"/>
    <w:rPr>
      <w:color w:val="FF0000"/>
      <w:lang w:val="lt-LT"/>
    </w:rPr>
  </w:style>
  <w:style w:type="paragraph" w:customStyle="1" w:styleId="Nervous40">
    <w:name w:val="Nervous 4"/>
    <w:basedOn w:val="Normal"/>
    <w:rsid w:val="001761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0">
    <w:name w:val="Nervous 5"/>
    <w:basedOn w:val="Normal"/>
    <w:rsid w:val="001761B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Drugname">
    <w:name w:val="Drug name"/>
    <w:basedOn w:val="NormalWeb"/>
    <w:link w:val="DrugnameChar"/>
    <w:autoRedefine/>
    <w:rsid w:val="001761B2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6">
    <w:name w:val="Nervous 6"/>
    <w:basedOn w:val="Normal"/>
    <w:rsid w:val="001761B2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1761B2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1761B2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EF028E"/>
    <w:rPr>
      <w:color w:val="999999"/>
      <w:u w:val="none"/>
    </w:rPr>
  </w:style>
  <w:style w:type="paragraph" w:customStyle="1" w:styleId="Nervous9">
    <w:name w:val="Nervous 9"/>
    <w:rsid w:val="001761B2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1761B2"/>
    <w:rPr>
      <w:i/>
      <w:smallCaps/>
      <w:color w:val="999999"/>
    </w:rPr>
  </w:style>
  <w:style w:type="paragraph" w:customStyle="1" w:styleId="Articlename">
    <w:name w:val="Article name"/>
    <w:basedOn w:val="Normal"/>
    <w:autoRedefine/>
    <w:qFormat/>
    <w:rsid w:val="001761B2"/>
    <w:pPr>
      <w:ind w:left="2155"/>
    </w:pPr>
    <w:rPr>
      <w:i/>
      <w:sz w:val="20"/>
    </w:rPr>
  </w:style>
  <w:style w:type="character" w:customStyle="1" w:styleId="Blue">
    <w:name w:val="Blue"/>
    <w:uiPriority w:val="1"/>
    <w:rsid w:val="001761B2"/>
    <w:rPr>
      <w:color w:val="0000FF"/>
    </w:rPr>
  </w:style>
  <w:style w:type="character" w:customStyle="1" w:styleId="DrugnameChar">
    <w:name w:val="Drug name Char"/>
    <w:basedOn w:val="DefaultParagraphFont"/>
    <w:link w:val="Drugname"/>
    <w:rsid w:val="001761B2"/>
    <w:rPr>
      <w:b/>
      <w:bCs/>
      <w:caps/>
      <w:color w:val="FF0000"/>
      <w:sz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rugname2Char">
    <w:name w:val="Drug name 2 Char"/>
    <w:link w:val="Drugname2"/>
    <w:rsid w:val="001761B2"/>
    <w:rPr>
      <w:bCs/>
      <w:smallCaps/>
      <w:color w:val="FF0000"/>
      <w:sz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ponym">
    <w:name w:val="Eponym"/>
    <w:qFormat/>
    <w:rsid w:val="001761B2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1761B2"/>
    <w:rPr>
      <w:color w:val="999999"/>
      <w:sz w:val="24"/>
      <w:szCs w:val="24"/>
    </w:rPr>
  </w:style>
  <w:style w:type="character" w:customStyle="1" w:styleId="Red">
    <w:name w:val="Red"/>
    <w:uiPriority w:val="1"/>
    <w:rsid w:val="001761B2"/>
    <w:rPr>
      <w:color w:val="FF0000"/>
    </w:rPr>
  </w:style>
  <w:style w:type="paragraph" w:customStyle="1" w:styleId="Sourceofpicture">
    <w:name w:val="Source of picture"/>
    <w:qFormat/>
    <w:rsid w:val="001761B2"/>
    <w:rPr>
      <w:color w:val="999999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1761B2"/>
    <w:rPr>
      <w:b/>
      <w:bCs/>
      <w:i/>
      <w:iCs/>
      <w:sz w:val="44"/>
    </w:rPr>
  </w:style>
  <w:style w:type="character" w:customStyle="1" w:styleId="Trialname">
    <w:name w:val="Trial name"/>
    <w:qFormat/>
    <w:rsid w:val="001761B2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eurosurgeryresiden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eurosurgeryresident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12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Disorders Of The Scrotum</vt:lpstr>
    </vt:vector>
  </TitlesOfParts>
  <Company> </Company>
  <LinksUpToDate>false</LinksUpToDate>
  <CharactersWithSpaces>5034</CharactersWithSpaces>
  <SharedDoc>false</SharedDoc>
  <HLinks>
    <vt:vector size="30" baseType="variant">
      <vt:variant>
        <vt:i4>6946860</vt:i4>
      </vt:variant>
      <vt:variant>
        <vt:i4>9808</vt:i4>
      </vt:variant>
      <vt:variant>
        <vt:i4>1029</vt:i4>
      </vt:variant>
      <vt:variant>
        <vt:i4>1</vt:i4>
      </vt:variant>
      <vt:variant>
        <vt:lpwstr>D:\Viktoro\Neuroscience\S. Symptoms, Signs, Syndromes\S1-3. Language, Speech, Aphasia\00. Pictures\Primary language areas.jpg</vt:lpwstr>
      </vt:variant>
      <vt:variant>
        <vt:lpwstr/>
      </vt:variant>
      <vt:variant>
        <vt:i4>4587532</vt:i4>
      </vt:variant>
      <vt:variant>
        <vt:i4>10884</vt:i4>
      </vt:variant>
      <vt:variant>
        <vt:i4>1028</vt:i4>
      </vt:variant>
      <vt:variant>
        <vt:i4>1</vt:i4>
      </vt:variant>
      <vt:variant>
        <vt:lpwstr>D:\Viktoro\Neuroscience\S. Symptoms, Signs, Syndromes\S1-3. Language, Speech, Aphasia\00. Pictures\Wernicke-Geschwind model (1).jpg</vt:lpwstr>
      </vt:variant>
      <vt:variant>
        <vt:lpwstr/>
      </vt:variant>
      <vt:variant>
        <vt:i4>4521996</vt:i4>
      </vt:variant>
      <vt:variant>
        <vt:i4>11234</vt:i4>
      </vt:variant>
      <vt:variant>
        <vt:i4>1027</vt:i4>
      </vt:variant>
      <vt:variant>
        <vt:i4>1</vt:i4>
      </vt:variant>
      <vt:variant>
        <vt:lpwstr>D:\Viktoro\Neuroscience\S. Symptoms, Signs, Syndromes\S1-3. Language, Speech, Aphasia\00. Pictures\Wernicke-Geschwind model (2).jpg</vt:lpwstr>
      </vt:variant>
      <vt:variant>
        <vt:lpwstr/>
      </vt:variant>
      <vt:variant>
        <vt:i4>4456460</vt:i4>
      </vt:variant>
      <vt:variant>
        <vt:i4>11434</vt:i4>
      </vt:variant>
      <vt:variant>
        <vt:i4>1026</vt:i4>
      </vt:variant>
      <vt:variant>
        <vt:i4>1</vt:i4>
      </vt:variant>
      <vt:variant>
        <vt:lpwstr>D:\Viktoro\Neuroscience\S. Symptoms, Signs, Syndromes\S1-3. Language, Speech, Aphasia\00. Pictures\Wernicke-Geschwind model (3).jpg</vt:lpwstr>
      </vt:variant>
      <vt:variant>
        <vt:lpwstr/>
      </vt:variant>
      <vt:variant>
        <vt:i4>1310804</vt:i4>
      </vt:variant>
      <vt:variant>
        <vt:i4>12638</vt:i4>
      </vt:variant>
      <vt:variant>
        <vt:i4>1025</vt:i4>
      </vt:variant>
      <vt:variant>
        <vt:i4>1</vt:i4>
      </vt:variant>
      <vt:variant>
        <vt:lpwstr>D:\Viktoro\Neuroscience\S. Symptoms, Signs, Syndromes\S1-3. Language, Speech, Aphasia\00. Pictures\LANGE (Ganong Physiology) 16-1 (PET).jpg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Disorders Of The Scrotum</dc:title>
  <dc:subject/>
  <dc:creator>Kristute ir Viktoras Paliai</dc:creator>
  <cp:keywords/>
  <cp:lastModifiedBy>Viktoras Palys</cp:lastModifiedBy>
  <cp:revision>9</cp:revision>
  <cp:lastPrinted>2019-05-08T06:17:00Z</cp:lastPrinted>
  <dcterms:created xsi:type="dcterms:W3CDTF">2016-03-21T04:29:00Z</dcterms:created>
  <dcterms:modified xsi:type="dcterms:W3CDTF">2019-05-08T06:17:00Z</dcterms:modified>
</cp:coreProperties>
</file>