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738" w:rsidRDefault="00303738">
      <w:pPr>
        <w:pStyle w:val="Title"/>
        <w:spacing w:after="120"/>
      </w:pPr>
      <w:bookmarkStart w:id="0" w:name="_Toc131266852"/>
      <w:bookmarkStart w:id="1" w:name="_GoBack"/>
      <w:r>
        <w:t>Tension-Type Headache</w:t>
      </w:r>
      <w:bookmarkEnd w:id="0"/>
      <w:r>
        <w:t xml:space="preserve"> (TTH)</w:t>
      </w:r>
    </w:p>
    <w:p w:rsidR="00554E73" w:rsidRDefault="00554E73" w:rsidP="00554E73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AF31AC">
        <w:rPr>
          <w:noProof/>
        </w:rPr>
        <w:t>May 8, 2019</w:t>
      </w:r>
      <w:r>
        <w:fldChar w:fldCharType="end"/>
      </w:r>
    </w:p>
    <w:p w:rsidR="00F07D51" w:rsidRDefault="00F07D5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Cs/>
          <w:smallCaps w:val="0"/>
        </w:rPr>
        <w:fldChar w:fldCharType="begin"/>
      </w:r>
      <w:r>
        <w:rPr>
          <w:bCs/>
          <w:smallCaps w:val="0"/>
        </w:rPr>
        <w:instrText xml:space="preserve"> TOC \h \z \t "Nervous 1,1,Nervous 5,2,Nervous 6,3" </w:instrText>
      </w:r>
      <w:r>
        <w:rPr>
          <w:bCs/>
          <w:smallCaps w:val="0"/>
        </w:rPr>
        <w:fldChar w:fldCharType="separate"/>
      </w:r>
      <w:hyperlink w:anchor="_Toc5997447" w:history="1">
        <w:r w:rsidRPr="00555093">
          <w:rPr>
            <w:rStyle w:val="Hyperlink"/>
            <w:noProof/>
          </w:rPr>
          <w:t>Pathophysiology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_Toc5997447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31A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07D51" w:rsidRDefault="00AF31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448" w:history="1">
        <w:r w:rsidR="00F07D51" w:rsidRPr="00555093">
          <w:rPr>
            <w:rStyle w:val="Hyperlink"/>
            <w:noProof/>
          </w:rPr>
          <w:t>Etiology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_Toc5997448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449" w:history="1">
        <w:r w:rsidR="00F07D51" w:rsidRPr="00555093">
          <w:rPr>
            <w:rStyle w:val="Hyperlink"/>
            <w:noProof/>
          </w:rPr>
          <w:t>Epidemiology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_Toc5997449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450" w:history="1">
        <w:r w:rsidR="00F07D51" w:rsidRPr="00555093">
          <w:rPr>
            <w:rStyle w:val="Hyperlink"/>
            <w:noProof/>
          </w:rPr>
          <w:t>Clinical Features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_Toc5997450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51" w:history="1">
        <w:r w:rsidR="00F07D51" w:rsidRPr="00555093">
          <w:rPr>
            <w:rStyle w:val="Hyperlink"/>
            <w:noProof/>
          </w:rPr>
          <w:t>Episodic TTH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_Toc5997451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7452" w:history="1">
        <w:r w:rsidR="00F07D51" w:rsidRPr="00555093">
          <w:rPr>
            <w:rStyle w:val="Hyperlink"/>
            <w:noProof/>
          </w:rPr>
          <w:t>Chronic TTH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_Toc5997452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453" w:history="1">
        <w:r w:rsidR="00F07D51" w:rsidRPr="00555093">
          <w:rPr>
            <w:rStyle w:val="Hyperlink"/>
            <w:noProof/>
          </w:rPr>
          <w:t>Evaluation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_Toc5997453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454" w:history="1">
        <w:r w:rsidR="00F07D51" w:rsidRPr="00555093">
          <w:rPr>
            <w:rStyle w:val="Hyperlink"/>
            <w:noProof/>
          </w:rPr>
          <w:t>Management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_Toc5997454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F07D51">
          <w:rPr>
            <w:noProof/>
            <w:webHidden/>
          </w:rPr>
          <w:fldChar w:fldCharType="end"/>
        </w:r>
      </w:hyperlink>
    </w:p>
    <w:p w:rsidR="00F07D51" w:rsidRDefault="00AF31A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7455" w:history="1">
        <w:r w:rsidR="00F07D51" w:rsidRPr="00555093">
          <w:rPr>
            <w:rStyle w:val="Hyperlink"/>
            <w:noProof/>
          </w:rPr>
          <w:t>Preventive therapy</w:t>
        </w:r>
        <w:r w:rsidR="00F07D51">
          <w:rPr>
            <w:noProof/>
            <w:webHidden/>
          </w:rPr>
          <w:tab/>
        </w:r>
        <w:r w:rsidR="00F07D51">
          <w:rPr>
            <w:noProof/>
            <w:webHidden/>
          </w:rPr>
          <w:fldChar w:fldCharType="begin"/>
        </w:r>
        <w:r w:rsidR="00F07D51">
          <w:rPr>
            <w:noProof/>
            <w:webHidden/>
          </w:rPr>
          <w:instrText xml:space="preserve"> PAGEREF _Toc5997455 \h </w:instrText>
        </w:r>
        <w:r w:rsidR="00F07D51">
          <w:rPr>
            <w:noProof/>
            <w:webHidden/>
          </w:rPr>
        </w:r>
        <w:r w:rsidR="00F07D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F07D51">
          <w:rPr>
            <w:noProof/>
            <w:webHidden/>
          </w:rPr>
          <w:fldChar w:fldCharType="end"/>
        </w:r>
      </w:hyperlink>
    </w:p>
    <w:p w:rsidR="00303738" w:rsidRDefault="00F07D51">
      <w:pPr>
        <w:pStyle w:val="NormalWeb"/>
        <w:rPr>
          <w:b/>
          <w:bCs/>
        </w:rPr>
      </w:pPr>
      <w:r>
        <w:rPr>
          <w:bCs/>
          <w:smallCaps/>
          <w:szCs w:val="20"/>
        </w:rPr>
        <w:fldChar w:fldCharType="end"/>
      </w:r>
    </w:p>
    <w:p w:rsidR="00303738" w:rsidRDefault="00303738">
      <w:pPr>
        <w:pStyle w:val="NormalWeb"/>
      </w:pPr>
      <w:r>
        <w:t>TTH - most common primary headache disorder!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  <w:r>
        <w:t xml:space="preserve">Past synonyms - tension headache, stress headache, muscle contraction headache, ordinary headache, psychomyogenic headache, psychogenic headache. </w:t>
      </w:r>
    </w:p>
    <w:p w:rsidR="00303738" w:rsidRDefault="00303738">
      <w:pPr>
        <w:pStyle w:val="NormalWeb"/>
      </w:pPr>
    </w:p>
    <w:p w:rsidR="00303738" w:rsidRDefault="00303738">
      <w:pPr>
        <w:pStyle w:val="NormalWeb"/>
        <w:rPr>
          <w:b/>
          <w:bCs/>
        </w:rPr>
      </w:pPr>
    </w:p>
    <w:p w:rsidR="00303738" w:rsidRDefault="00303738">
      <w:pPr>
        <w:pStyle w:val="Nervous1"/>
      </w:pPr>
      <w:bookmarkStart w:id="2" w:name="_Toc5997447"/>
      <w:r>
        <w:t>Pathophysiology</w:t>
      </w:r>
      <w:bookmarkEnd w:id="2"/>
    </w:p>
    <w:p w:rsidR="00303738" w:rsidRDefault="00303738">
      <w:pPr>
        <w:pStyle w:val="NormalWeb"/>
      </w:pPr>
      <w:r>
        <w:t>- not well understood and defies single or simple pathophysiologic explanation.</w:t>
      </w:r>
    </w:p>
    <w:p w:rsidR="00303738" w:rsidRDefault="00303738">
      <w:pPr>
        <w:pStyle w:val="NormalWeb"/>
      </w:pPr>
    </w:p>
    <w:p w:rsidR="00303738" w:rsidRDefault="0030373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Likely cause is </w:t>
      </w:r>
      <w:r>
        <w:rPr>
          <w:b/>
          <w:bCs/>
          <w:color w:val="FF0000"/>
        </w:rPr>
        <w:t>abnormal neuronal sensitivity &amp; pain facilitation</w:t>
      </w:r>
      <w:r>
        <w:t>, not abnormal muscle contraction.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  <w:r>
        <w:t xml:space="preserve">TTH is </w:t>
      </w:r>
      <w:r>
        <w:rPr>
          <w:i/>
          <w:iCs/>
          <w:color w:val="FF0000"/>
        </w:rPr>
        <w:t>not result</w:t>
      </w:r>
      <w:r>
        <w:t xml:space="preserve"> of </w:t>
      </w:r>
      <w:r>
        <w:rPr>
          <w:b/>
          <w:bCs/>
        </w:rPr>
        <w:t>sustained contraction of pericranial muscles</w:t>
      </w:r>
      <w:r>
        <w:t xml:space="preserve">* with subsequent </w:t>
      </w:r>
      <w:r>
        <w:rPr>
          <w:b/>
          <w:bCs/>
        </w:rPr>
        <w:t>ischemic pain</w:t>
      </w:r>
      <w:r>
        <w:t xml:space="preserve"> in response to emotion / stress.</w:t>
      </w:r>
      <w:r>
        <w:tab/>
      </w:r>
      <w:r>
        <w:tab/>
      </w:r>
      <w:r>
        <w:tab/>
      </w:r>
      <w:r>
        <w:tab/>
        <w:t>*although many patients have muscle tenderness.</w:t>
      </w:r>
    </w:p>
    <w:p w:rsidR="00303738" w:rsidRDefault="00303738">
      <w:pPr>
        <w:pStyle w:val="NormalWeb"/>
        <w:numPr>
          <w:ilvl w:val="0"/>
          <w:numId w:val="1"/>
        </w:numPr>
      </w:pPr>
      <w:r>
        <w:t>muscle ischemia is not present during headache.</w:t>
      </w:r>
    </w:p>
    <w:p w:rsidR="00303738" w:rsidRDefault="00303738">
      <w:pPr>
        <w:pStyle w:val="NormalWeb"/>
        <w:numPr>
          <w:ilvl w:val="0"/>
          <w:numId w:val="1"/>
        </w:numPr>
      </w:pPr>
      <w:r>
        <w:t>EMG activity is increased in some muscles (independent of tenderness and pain).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  <w:r>
        <w:rPr>
          <w:smallCaps/>
          <w:highlight w:val="yellow"/>
        </w:rPr>
        <w:t>"</w:t>
      </w:r>
      <w:r>
        <w:rPr>
          <w:b/>
          <w:bCs/>
          <w:smallCaps/>
          <w:highlight w:val="yellow"/>
        </w:rPr>
        <w:t>Myofascial-supraspinal-vascular</w:t>
      </w:r>
      <w:r>
        <w:rPr>
          <w:smallCaps/>
          <w:highlight w:val="yellow"/>
        </w:rPr>
        <w:t>" model</w:t>
      </w:r>
      <w:r>
        <w:t xml:space="preserve"> – headache is viewed as sum of nociceptive input onto brain stem neurons from </w:t>
      </w:r>
      <w:r>
        <w:rPr>
          <w:b/>
          <w:bCs/>
          <w:i/>
          <w:iCs/>
        </w:rPr>
        <w:t>vascular structures</w:t>
      </w:r>
      <w:r>
        <w:t xml:space="preserve">, </w:t>
      </w:r>
      <w:r>
        <w:rPr>
          <w:b/>
          <w:bCs/>
          <w:i/>
          <w:iCs/>
        </w:rPr>
        <w:t>myofascial</w:t>
      </w:r>
      <w:r>
        <w:t xml:space="preserve"> and </w:t>
      </w:r>
      <w:r>
        <w:rPr>
          <w:b/>
          <w:bCs/>
          <w:i/>
          <w:iCs/>
        </w:rPr>
        <w:t>muscular sources</w:t>
      </w:r>
      <w:r>
        <w:t>, and descending supraspinal modulation.</w:t>
      </w:r>
    </w:p>
    <w:p w:rsidR="00303738" w:rsidRDefault="00303738" w:rsidP="005717D3">
      <w:pPr>
        <w:pStyle w:val="NormalWeb"/>
        <w:ind w:left="1440"/>
      </w:pPr>
      <w:r>
        <w:t>Contributions from both central and peripheral factors!</w:t>
      </w:r>
    </w:p>
    <w:p w:rsidR="00303738" w:rsidRDefault="00303738">
      <w:pPr>
        <w:pStyle w:val="NormalWeb"/>
        <w:numPr>
          <w:ilvl w:val="1"/>
          <w:numId w:val="11"/>
        </w:numPr>
      </w:pPr>
      <w:r>
        <w:t>relative importance of these three factors varies among attacks and among patients.</w:t>
      </w:r>
    </w:p>
    <w:p w:rsidR="00303738" w:rsidRDefault="00303738">
      <w:pPr>
        <w:pStyle w:val="NormalWeb"/>
        <w:numPr>
          <w:ilvl w:val="1"/>
          <w:numId w:val="11"/>
        </w:numPr>
      </w:pPr>
      <w:r>
        <w:t>neurotransmitter abnormalities (5-HT, norepinephrine, dopamine, enkephalins) in hypothalamus, brain stem, and spinal cord.</w:t>
      </w:r>
    </w:p>
    <w:p w:rsidR="00303738" w:rsidRDefault="00303738">
      <w:pPr>
        <w:pStyle w:val="NormalWeb"/>
        <w:numPr>
          <w:ilvl w:val="0"/>
          <w:numId w:val="1"/>
        </w:numPr>
      </w:pPr>
      <w:r>
        <w:t xml:space="preserve">CNS [5-HT]↓ may be responsible for </w:t>
      </w:r>
      <w:r>
        <w:rPr>
          <w:b/>
          <w:bCs/>
          <w:color w:val="0000FF"/>
        </w:rPr>
        <w:t>abnormal pain modulation</w:t>
      </w:r>
      <w:r>
        <w:t xml:space="preserve"> (decreased pain thresholds).</w:t>
      </w:r>
    </w:p>
    <w:p w:rsidR="00303738" w:rsidRDefault="00303738">
      <w:pPr>
        <w:pStyle w:val="NormalWeb"/>
        <w:numPr>
          <w:ilvl w:val="0"/>
          <w:numId w:val="1"/>
        </w:numPr>
      </w:pPr>
      <w:r>
        <w:t xml:space="preserve">in presence of </w:t>
      </w:r>
      <w:r>
        <w:rPr>
          <w:b/>
          <w:bCs/>
          <w:color w:val="0000FF"/>
        </w:rPr>
        <w:t>pain facilitation</w:t>
      </w:r>
      <w:r>
        <w:t xml:space="preserve">, </w:t>
      </w:r>
      <w:r>
        <w:rPr>
          <w:b/>
          <w:bCs/>
          <w:i/>
          <w:iCs/>
        </w:rPr>
        <w:t>normal subthreshold stimuli</w:t>
      </w:r>
      <w:r>
        <w:t xml:space="preserve"> may produce significant pain (even if myofascial nociceptor hypersensitivity is not present).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  <w:r>
        <w:rPr>
          <w:b/>
          <w:bCs/>
          <w:color w:val="0000FF"/>
        </w:rPr>
        <w:t>State of cranial hyperalgesia</w:t>
      </w:r>
      <w:r>
        <w:t xml:space="preserve"> - reduced endogenous pain modulation + enhanced pain potentiation.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</w:p>
    <w:p w:rsidR="00303738" w:rsidRDefault="00303738">
      <w:pPr>
        <w:pStyle w:val="Nervous1"/>
      </w:pPr>
      <w:bookmarkStart w:id="3" w:name="_Toc5997448"/>
      <w:r>
        <w:t>Etiology</w:t>
      </w:r>
      <w:bookmarkEnd w:id="3"/>
    </w:p>
    <w:p w:rsidR="00303738" w:rsidRDefault="00303738">
      <w:pPr>
        <w:pStyle w:val="NormalWeb"/>
      </w:pPr>
      <w:r>
        <w:t>- many causes!</w:t>
      </w:r>
    </w:p>
    <w:p w:rsidR="00303738" w:rsidRDefault="00303738">
      <w:pPr>
        <w:pStyle w:val="NormalWeb"/>
        <w:numPr>
          <w:ilvl w:val="0"/>
          <w:numId w:val="7"/>
        </w:numPr>
      </w:pPr>
      <w:r>
        <w:t>co-morbid migraine, mood disorders, sleep dysfunction, anxiety states contribute.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</w:p>
    <w:p w:rsidR="00303738" w:rsidRDefault="00303738">
      <w:pPr>
        <w:pStyle w:val="Nervous1"/>
      </w:pPr>
      <w:bookmarkStart w:id="4" w:name="_Toc5997449"/>
      <w:r>
        <w:lastRenderedPageBreak/>
        <w:t>Epidemiology</w:t>
      </w:r>
      <w:bookmarkEnd w:id="4"/>
    </w:p>
    <w:p w:rsidR="00303738" w:rsidRDefault="00303738">
      <w:pPr>
        <w:pStyle w:val="NormalWeb"/>
        <w:numPr>
          <w:ilvl w:val="0"/>
          <w:numId w:val="2"/>
        </w:numPr>
      </w:pPr>
      <w:r>
        <w:t xml:space="preserve">can </w:t>
      </w:r>
      <w:r>
        <w:rPr>
          <w:u w:val="single"/>
        </w:rPr>
        <w:t>begin</w:t>
      </w:r>
      <w:r>
        <w:t xml:space="preserve"> at any age (most commonly – </w:t>
      </w:r>
      <w:r>
        <w:rPr>
          <w:b/>
          <w:bCs/>
          <w:color w:val="FF0000"/>
        </w:rPr>
        <w:t>2</w:t>
      </w:r>
      <w:r>
        <w:rPr>
          <w:b/>
          <w:bCs/>
          <w:color w:val="FF0000"/>
          <w:vertAlign w:val="superscript"/>
        </w:rPr>
        <w:t>nd</w:t>
      </w:r>
      <w:r>
        <w:rPr>
          <w:b/>
          <w:bCs/>
          <w:color w:val="FF0000"/>
        </w:rPr>
        <w:t xml:space="preserve"> decade</w:t>
      </w:r>
      <w:r>
        <w:t xml:space="preserve"> - adolescence or young adulthood); uncommon before puberty.</w:t>
      </w:r>
    </w:p>
    <w:p w:rsidR="00303738" w:rsidRDefault="00303738">
      <w:pPr>
        <w:pStyle w:val="NormalWeb"/>
        <w:numPr>
          <w:ilvl w:val="0"/>
          <w:numId w:val="2"/>
        </w:numPr>
      </w:pPr>
      <w:r>
        <w:rPr>
          <w:u w:val="single"/>
        </w:rPr>
        <w:t xml:space="preserve">lifetime </w:t>
      </w:r>
      <w:r>
        <w:rPr>
          <w:smallCaps/>
          <w:u w:val="single"/>
        </w:rPr>
        <w:t>prevalence</w:t>
      </w:r>
      <w:r>
        <w:t xml:space="preserve"> – 69% men, 88% women - </w:t>
      </w:r>
      <w:r>
        <w:rPr>
          <w:color w:val="FF0000"/>
        </w:rPr>
        <w:t>one of most costly diseases</w:t>
      </w:r>
      <w:r>
        <w:t>!!!</w:t>
      </w:r>
    </w:p>
    <w:p w:rsidR="00303738" w:rsidRDefault="00303738">
      <w:pPr>
        <w:pStyle w:val="NormalWeb"/>
        <w:numPr>
          <w:ilvl w:val="0"/>
          <w:numId w:val="2"/>
        </w:numPr>
      </w:pPr>
      <w:r>
        <w:t>prevalence declines with increasing age (severity decreases in women but does not change in men).</w:t>
      </w:r>
    </w:p>
    <w:p w:rsidR="00303738" w:rsidRDefault="00303738">
      <w:pPr>
        <w:pStyle w:val="NormalWeb"/>
        <w:numPr>
          <w:ilvl w:val="0"/>
          <w:numId w:val="2"/>
        </w:numPr>
      </w:pPr>
      <w:r>
        <w:rPr>
          <w:i/>
          <w:iCs/>
        </w:rPr>
        <w:t>socioeconomic factors</w:t>
      </w:r>
      <w:r>
        <w:t xml:space="preserve"> do not contribute to risk.</w:t>
      </w:r>
    </w:p>
    <w:p w:rsidR="00303738" w:rsidRDefault="00303738">
      <w:pPr>
        <w:pStyle w:val="NormalWeb"/>
        <w:numPr>
          <w:ilvl w:val="0"/>
          <w:numId w:val="2"/>
        </w:numPr>
      </w:pPr>
      <w:r>
        <w:rPr>
          <w:i/>
          <w:iCs/>
        </w:rPr>
        <w:t>genetic factors</w:t>
      </w:r>
      <w:r>
        <w:t xml:space="preserve"> are not prominent (vs. migraine or other headache syndromes).</w:t>
      </w:r>
    </w:p>
    <w:p w:rsidR="00303738" w:rsidRDefault="00303738">
      <w:pPr>
        <w:pStyle w:val="NormalWeb"/>
        <w:numPr>
          <w:ilvl w:val="0"/>
          <w:numId w:val="2"/>
        </w:numPr>
      </w:pPr>
      <w:r>
        <w:t xml:space="preserve">25% patients also have </w:t>
      </w:r>
      <w:r>
        <w:rPr>
          <w:b/>
          <w:bCs/>
          <w:i/>
          <w:iCs/>
        </w:rPr>
        <w:t>migraine</w:t>
      </w:r>
      <w:r>
        <w:t>!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</w:p>
    <w:p w:rsidR="00303738" w:rsidRDefault="00303738">
      <w:pPr>
        <w:pStyle w:val="Nervous1"/>
      </w:pPr>
      <w:bookmarkStart w:id="5" w:name="_Toc5997450"/>
      <w:r>
        <w:t>Clinical Features</w:t>
      </w:r>
      <w:bookmarkEnd w:id="5"/>
    </w:p>
    <w:p w:rsidR="00303738" w:rsidRDefault="00303738">
      <w:pPr>
        <w:pStyle w:val="NormalWeb"/>
      </w:pPr>
      <w:r>
        <w:t xml:space="preserve">- relatively </w:t>
      </w:r>
      <w:r>
        <w:rPr>
          <w:b/>
          <w:bCs/>
          <w:i/>
          <w:iCs/>
          <w:color w:val="0000FF"/>
        </w:rPr>
        <w:t>featureless, mild headache</w:t>
      </w:r>
      <w:r>
        <w:t>.</w:t>
      </w:r>
    </w:p>
    <w:p w:rsidR="00303738" w:rsidRDefault="00303738">
      <w:pPr>
        <w:pStyle w:val="NormalWeb"/>
        <w:numPr>
          <w:ilvl w:val="0"/>
          <w:numId w:val="4"/>
        </w:numPr>
      </w:pPr>
      <w:r>
        <w:t>no prodrome.</w:t>
      </w:r>
    </w:p>
    <w:p w:rsidR="00303738" w:rsidRDefault="00303738">
      <w:pPr>
        <w:pStyle w:val="NormalWeb"/>
        <w:numPr>
          <w:ilvl w:val="0"/>
          <w:numId w:val="4"/>
        </w:numPr>
      </w:pPr>
      <w:r>
        <w:t xml:space="preserve">often during or after </w:t>
      </w:r>
      <w:r>
        <w:rPr>
          <w:b/>
          <w:bCs/>
          <w:i/>
          <w:iCs/>
          <w:color w:val="FF0000"/>
        </w:rPr>
        <w:t>stress</w:t>
      </w:r>
      <w:r>
        <w:t xml:space="preserve">, </w:t>
      </w:r>
      <w:r>
        <w:rPr>
          <w:b/>
          <w:bCs/>
          <w:i/>
          <w:iCs/>
          <w:color w:val="FF0000"/>
        </w:rPr>
        <w:t>anxiety</w:t>
      </w:r>
      <w:r>
        <w:t>.</w:t>
      </w:r>
    </w:p>
    <w:p w:rsidR="00303738" w:rsidRDefault="00303738">
      <w:pPr>
        <w:pStyle w:val="NormalWeb"/>
        <w:numPr>
          <w:ilvl w:val="0"/>
          <w:numId w:val="4"/>
        </w:numPr>
      </w:pPr>
      <w:r>
        <w:t xml:space="preserve">may be associated with </w:t>
      </w:r>
      <w:r>
        <w:rPr>
          <w:b/>
          <w:bCs/>
          <w:i/>
          <w:iCs/>
          <w:color w:val="FF0000"/>
        </w:rPr>
        <w:t>menstruation</w:t>
      </w:r>
      <w:r>
        <w:t xml:space="preserve">, </w:t>
      </w:r>
      <w:r>
        <w:rPr>
          <w:b/>
          <w:bCs/>
          <w:i/>
          <w:iCs/>
          <w:color w:val="FF0000"/>
        </w:rPr>
        <w:t>hunger</w:t>
      </w:r>
      <w:r>
        <w:t xml:space="preserve">, </w:t>
      </w:r>
      <w:r>
        <w:rPr>
          <w:b/>
          <w:bCs/>
          <w:i/>
          <w:iCs/>
          <w:color w:val="FF0000"/>
        </w:rPr>
        <w:t>eyestrain</w:t>
      </w:r>
      <w:r>
        <w:t xml:space="preserve">, uncomfortable stressful </w:t>
      </w:r>
      <w:r>
        <w:rPr>
          <w:b/>
          <w:bCs/>
          <w:i/>
          <w:iCs/>
          <w:color w:val="FF0000"/>
        </w:rPr>
        <w:t>position</w:t>
      </w:r>
      <w:r>
        <w:t xml:space="preserve"> and/or bad </w:t>
      </w:r>
      <w:r>
        <w:rPr>
          <w:b/>
          <w:bCs/>
          <w:i/>
          <w:iCs/>
          <w:color w:val="FF0000"/>
        </w:rPr>
        <w:t>posture</w:t>
      </w:r>
      <w:r>
        <w:t>.</w:t>
      </w:r>
    </w:p>
    <w:p w:rsidR="00303738" w:rsidRDefault="00303738">
      <w:pPr>
        <w:pStyle w:val="NormalWeb"/>
        <w:numPr>
          <w:ilvl w:val="0"/>
          <w:numId w:val="4"/>
        </w:numPr>
      </w:pPr>
      <w:r>
        <w:rPr>
          <w:b/>
          <w:bCs/>
          <w:smallCaps/>
        </w:rPr>
        <w:t>pain</w:t>
      </w:r>
      <w:r>
        <w:t xml:space="preserve"> (gradual onset):</w:t>
      </w:r>
    </w:p>
    <w:p w:rsidR="00303738" w:rsidRDefault="00303738">
      <w:pPr>
        <w:pStyle w:val="NormalWeb"/>
        <w:numPr>
          <w:ilvl w:val="1"/>
          <w:numId w:val="4"/>
        </w:numPr>
      </w:pPr>
      <w:r>
        <w:t xml:space="preserve">nagging, tight, </w:t>
      </w:r>
      <w:r>
        <w:rPr>
          <w:szCs w:val="20"/>
        </w:rPr>
        <w:t xml:space="preserve">bandlike, </w:t>
      </w:r>
      <w:r>
        <w:rPr>
          <w:b/>
          <w:bCs/>
          <w:i/>
          <w:iCs/>
          <w:szCs w:val="20"/>
        </w:rPr>
        <w:t xml:space="preserve">constricting </w:t>
      </w:r>
      <w:r>
        <w:rPr>
          <w:b/>
          <w:bCs/>
          <w:i/>
          <w:iCs/>
        </w:rPr>
        <w:t>bilateral pressure</w:t>
      </w:r>
      <w:r>
        <w:t xml:space="preserve"> (discomfort).</w:t>
      </w:r>
    </w:p>
    <w:p w:rsidR="00303738" w:rsidRDefault="00303738">
      <w:pPr>
        <w:pStyle w:val="NormalWeb"/>
        <w:numPr>
          <w:ilvl w:val="1"/>
          <w:numId w:val="4"/>
        </w:numPr>
      </w:pPr>
      <w:r>
        <w:t>located in forehead, temples, or occipital area.</w:t>
      </w:r>
    </w:p>
    <w:p w:rsidR="00303738" w:rsidRDefault="00303738">
      <w:pPr>
        <w:pStyle w:val="NormalWeb"/>
        <w:numPr>
          <w:ilvl w:val="1"/>
          <w:numId w:val="4"/>
        </w:numPr>
      </w:pPr>
      <w:r>
        <w:t xml:space="preserve">may radiate to neck and shoulders (patient may feel </w:t>
      </w:r>
      <w:r>
        <w:rPr>
          <w:szCs w:val="20"/>
        </w:rPr>
        <w:t xml:space="preserve">that </w:t>
      </w:r>
      <w:r>
        <w:rPr>
          <w:b/>
          <w:bCs/>
          <w:i/>
          <w:iCs/>
          <w:szCs w:val="20"/>
        </w:rPr>
        <w:t>posterior neck muscles are tight</w:t>
      </w:r>
      <w:r>
        <w:rPr>
          <w:szCs w:val="20"/>
        </w:rPr>
        <w:t>*).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*± EMG changes</w:t>
      </w:r>
    </w:p>
    <w:p w:rsidR="00303738" w:rsidRDefault="00303738">
      <w:pPr>
        <w:pStyle w:val="NormalWeb"/>
        <w:numPr>
          <w:ilvl w:val="1"/>
          <w:numId w:val="4"/>
        </w:numPr>
      </w:pPr>
      <w:r>
        <w:rPr>
          <w:szCs w:val="20"/>
        </w:rPr>
        <w:t>severity</w:t>
      </w:r>
      <w:r>
        <w:t xml:space="preserve"> </w:t>
      </w:r>
      <w:r>
        <w:rPr>
          <w:szCs w:val="20"/>
        </w:rPr>
        <w:t>fluctuates (</w:t>
      </w:r>
      <w:r>
        <w:t>typically worse late in day).</w:t>
      </w:r>
    </w:p>
    <w:p w:rsidR="00303738" w:rsidRDefault="00303738">
      <w:pPr>
        <w:pStyle w:val="NormalWeb"/>
        <w:numPr>
          <w:ilvl w:val="1"/>
          <w:numId w:val="4"/>
        </w:numPr>
      </w:pPr>
      <w:r>
        <w:t>may persist for days.</w:t>
      </w:r>
    </w:p>
    <w:p w:rsidR="00303738" w:rsidRDefault="00303738">
      <w:pPr>
        <w:pStyle w:val="NormalWeb"/>
        <w:numPr>
          <w:ilvl w:val="1"/>
          <w:numId w:val="4"/>
        </w:numPr>
      </w:pPr>
      <w:r>
        <w:t>often improved by physical activity or alcohol!</w:t>
      </w:r>
    </w:p>
    <w:p w:rsidR="00303738" w:rsidRDefault="00303738">
      <w:pPr>
        <w:pStyle w:val="NormalWeb"/>
        <w:numPr>
          <w:ilvl w:val="0"/>
          <w:numId w:val="4"/>
        </w:numPr>
      </w:pPr>
      <w:r>
        <w:t xml:space="preserve">normal </w:t>
      </w:r>
      <w:r>
        <w:rPr>
          <w:u w:val="single"/>
        </w:rPr>
        <w:t>general &amp; neurologic examinations</w:t>
      </w:r>
      <w:r>
        <w:t xml:space="preserve">; some patients may have </w:t>
      </w:r>
      <w:r>
        <w:rPr>
          <w:b/>
          <w:bCs/>
          <w:i/>
          <w:iCs/>
        </w:rPr>
        <w:t xml:space="preserve">tender spots </w:t>
      </w:r>
      <w:r>
        <w:t>or</w:t>
      </w:r>
      <w:r>
        <w:rPr>
          <w:b/>
          <w:bCs/>
          <w:i/>
          <w:iCs/>
        </w:rPr>
        <w:t xml:space="preserve"> taut bands</w:t>
      </w:r>
      <w:r>
        <w:t xml:space="preserve"> in pericranial or cervical muscles (</w:t>
      </w:r>
      <w:r>
        <w:rPr>
          <w:b/>
          <w:bCs/>
          <w:i/>
          <w:iCs/>
          <w:smallCaps/>
        </w:rPr>
        <w:t>trigger points</w:t>
      </w:r>
      <w:r>
        <w:t>).</w:t>
      </w:r>
    </w:p>
    <w:p w:rsidR="00303738" w:rsidRDefault="00303738">
      <w:pPr>
        <w:pStyle w:val="NormalWeb"/>
        <w:numPr>
          <w:ilvl w:val="0"/>
          <w:numId w:val="4"/>
        </w:numPr>
      </w:pPr>
      <w:r>
        <w:t>no associated autonomic or GI symptoms (occasional anorexia).</w:t>
      </w:r>
    </w:p>
    <w:p w:rsidR="00303738" w:rsidRDefault="00303738">
      <w:pPr>
        <w:pStyle w:val="NormalWeb"/>
        <w:rPr>
          <w:b/>
          <w:bCs/>
          <w:u w:val="single"/>
        </w:rPr>
      </w:pPr>
    </w:p>
    <w:p w:rsidR="00303738" w:rsidRDefault="00303738">
      <w:pPr>
        <w:pStyle w:val="Nervous5"/>
        <w:ind w:right="8221"/>
      </w:pPr>
      <w:bookmarkStart w:id="6" w:name="_Toc5997451"/>
      <w:r>
        <w:rPr>
          <w:caps w:val="0"/>
        </w:rPr>
        <w:t>Episodic</w:t>
      </w:r>
      <w:r>
        <w:t xml:space="preserve"> TTH</w:t>
      </w:r>
      <w:bookmarkEnd w:id="6"/>
    </w:p>
    <w:p w:rsidR="00303738" w:rsidRDefault="00303738">
      <w:pPr>
        <w:pStyle w:val="NormalWeb"/>
      </w:pPr>
      <w:r>
        <w:rPr>
          <w:b/>
          <w:bCs/>
          <w:u w:val="single"/>
        </w:rPr>
        <w:t>IHS criteria</w:t>
      </w:r>
      <w:r>
        <w:rPr>
          <w:b/>
          <w:bCs/>
        </w:rPr>
        <w:t xml:space="preserve"> </w:t>
      </w:r>
      <w:r>
        <w:t xml:space="preserve">- at least </w:t>
      </w:r>
      <w:r>
        <w:rPr>
          <w:color w:val="0000FF"/>
        </w:rPr>
        <w:t>10 headaches</w:t>
      </w:r>
      <w:r>
        <w:t xml:space="preserve"> fulfilling following criteria:</w:t>
      </w:r>
    </w:p>
    <w:p w:rsidR="00303738" w:rsidRDefault="00303738">
      <w:pPr>
        <w:pStyle w:val="NormalWeb"/>
        <w:numPr>
          <w:ilvl w:val="0"/>
          <w:numId w:val="3"/>
        </w:numPr>
      </w:pPr>
      <w:r>
        <w:t xml:space="preserve">each </w:t>
      </w:r>
      <w:r>
        <w:rPr>
          <w:b/>
          <w:bCs/>
        </w:rPr>
        <w:t>lasting</w:t>
      </w:r>
      <w:r>
        <w:t xml:space="preserve"> 30 minutes ÷ 7 days (82% last &lt; 24 hrs; median - 12 hours).</w:t>
      </w:r>
    </w:p>
    <w:p w:rsidR="00303738" w:rsidRDefault="00303738">
      <w:pPr>
        <w:pStyle w:val="NormalWeb"/>
        <w:numPr>
          <w:ilvl w:val="0"/>
          <w:numId w:val="3"/>
        </w:numPr>
      </w:pPr>
      <w:r>
        <w:t>at least 2 of following characteristics:</w:t>
      </w:r>
    </w:p>
    <w:p w:rsidR="00303738" w:rsidRDefault="00303738">
      <w:pPr>
        <w:pStyle w:val="NormalWeb"/>
        <w:numPr>
          <w:ilvl w:val="1"/>
          <w:numId w:val="3"/>
        </w:numPr>
      </w:pPr>
      <w:r>
        <w:rPr>
          <w:b/>
          <w:bCs/>
        </w:rPr>
        <w:t>bilateral</w:t>
      </w:r>
    </w:p>
    <w:p w:rsidR="00303738" w:rsidRDefault="00303738">
      <w:pPr>
        <w:pStyle w:val="NormalWeb"/>
        <w:numPr>
          <w:ilvl w:val="1"/>
          <w:numId w:val="3"/>
        </w:numPr>
      </w:pPr>
      <w:r>
        <w:rPr>
          <w:b/>
          <w:bCs/>
        </w:rPr>
        <w:t>nonpulsating</w:t>
      </w:r>
      <w:r>
        <w:t xml:space="preserve"> (pressing, tightening) quality</w:t>
      </w:r>
    </w:p>
    <w:p w:rsidR="00303738" w:rsidRDefault="00303738">
      <w:pPr>
        <w:pStyle w:val="NormalWeb"/>
        <w:numPr>
          <w:ilvl w:val="1"/>
          <w:numId w:val="3"/>
        </w:numPr>
      </w:pPr>
      <w:r>
        <w:t xml:space="preserve">mild ÷ moderate </w:t>
      </w:r>
      <w:r>
        <w:rPr>
          <w:b/>
          <w:bCs/>
        </w:rPr>
        <w:t xml:space="preserve">intensity </w:t>
      </w:r>
      <w:r>
        <w:t>(may inhibit but does not prohibit activities)</w:t>
      </w:r>
    </w:p>
    <w:p w:rsidR="00303738" w:rsidRDefault="00303738">
      <w:pPr>
        <w:pStyle w:val="NormalWeb"/>
        <w:numPr>
          <w:ilvl w:val="1"/>
          <w:numId w:val="3"/>
        </w:numPr>
      </w:pPr>
      <w:r>
        <w:rPr>
          <w:b/>
          <w:bCs/>
        </w:rPr>
        <w:t>no aggravation</w:t>
      </w:r>
      <w:r>
        <w:t xml:space="preserve"> with routine physical activity (e.g. climbing stairs)</w:t>
      </w:r>
    </w:p>
    <w:p w:rsidR="00303738" w:rsidRDefault="00303738">
      <w:pPr>
        <w:pStyle w:val="NormalWeb"/>
        <w:numPr>
          <w:ilvl w:val="0"/>
          <w:numId w:val="3"/>
        </w:numPr>
      </w:pPr>
      <w:r>
        <w:t xml:space="preserve">no </w:t>
      </w:r>
      <w:r>
        <w:rPr>
          <w:i/>
          <w:iCs/>
        </w:rPr>
        <w:t>nausea</w:t>
      </w:r>
      <w:r>
        <w:t xml:space="preserve">, </w:t>
      </w:r>
      <w:r>
        <w:rPr>
          <w:i/>
          <w:iCs/>
        </w:rPr>
        <w:t>vomiting</w:t>
      </w:r>
      <w:r>
        <w:t xml:space="preserve">, </w:t>
      </w:r>
      <w:r>
        <w:rPr>
          <w:i/>
          <w:iCs/>
        </w:rPr>
        <w:t>photophobia</w:t>
      </w:r>
      <w:r>
        <w:t xml:space="preserve">*, </w:t>
      </w:r>
      <w:r>
        <w:rPr>
          <w:i/>
          <w:iCs/>
        </w:rPr>
        <w:t>phonophobia</w:t>
      </w:r>
      <w:r>
        <w:t xml:space="preserve">*, </w:t>
      </w:r>
      <w:r>
        <w:rPr>
          <w:i/>
          <w:iCs/>
        </w:rPr>
        <w:t>osmophobia</w:t>
      </w:r>
      <w:r>
        <w:t>!!!</w:t>
      </w:r>
    </w:p>
    <w:p w:rsidR="00303738" w:rsidRDefault="00303738">
      <w:pPr>
        <w:pStyle w:val="NormalWeb"/>
        <w:jc w:val="right"/>
      </w:pPr>
      <w:r>
        <w:t>*photophobia or phonophobia may be present but not both!</w:t>
      </w:r>
    </w:p>
    <w:p w:rsidR="00303738" w:rsidRDefault="00303738">
      <w:pPr>
        <w:pStyle w:val="NormalWeb"/>
        <w:numPr>
          <w:ilvl w:val="0"/>
          <w:numId w:val="3"/>
        </w:numPr>
      </w:pPr>
      <w:r>
        <w:t xml:space="preserve">number of days with headache </w:t>
      </w:r>
      <w:r>
        <w:rPr>
          <w:highlight w:val="yellow"/>
        </w:rPr>
        <w:t>&lt; 15 days / month</w:t>
      </w:r>
      <w:r>
        <w:t>.</w:t>
      </w:r>
    </w:p>
    <w:p w:rsidR="00303738" w:rsidRDefault="00303738">
      <w:pPr>
        <w:pStyle w:val="NormalWeb"/>
        <w:numPr>
          <w:ilvl w:val="0"/>
          <w:numId w:val="3"/>
        </w:numPr>
      </w:pPr>
      <w:r>
        <w:rPr>
          <w:i/>
          <w:iCs/>
        </w:rPr>
        <w:t>secondary headache</w:t>
      </w:r>
      <w:r>
        <w:t xml:space="preserve"> excluded.</w:t>
      </w:r>
    </w:p>
    <w:p w:rsidR="00303738" w:rsidRDefault="00303738">
      <w:pPr>
        <w:pStyle w:val="NormalWeb"/>
        <w:rPr>
          <w:b/>
          <w:bCs/>
        </w:rPr>
      </w:pPr>
    </w:p>
    <w:p w:rsidR="00303738" w:rsidRDefault="00303738">
      <w:pPr>
        <w:pStyle w:val="NormalWeb"/>
        <w:numPr>
          <w:ilvl w:val="0"/>
          <w:numId w:val="8"/>
        </w:numPr>
      </w:pPr>
      <w:r>
        <w:t>patients are no different from controls in terms of depression, stress, anxiety, emotional conflicts, sleeping problems, fatigue.</w:t>
      </w:r>
    </w:p>
    <w:p w:rsidR="00303738" w:rsidRDefault="00303738">
      <w:pPr>
        <w:pStyle w:val="NormalWeb"/>
        <w:numPr>
          <w:ilvl w:val="0"/>
          <w:numId w:val="8"/>
        </w:numPr>
      </w:pPr>
      <w:r>
        <w:rPr>
          <w:b/>
          <w:bCs/>
          <w:i/>
          <w:iCs/>
          <w:color w:val="008000"/>
        </w:rPr>
        <w:t>benign recurrent condition</w:t>
      </w:r>
      <w:r>
        <w:t xml:space="preserve"> that usually improves with time (some patients with analgesic overuse may progress to chronic TTH).</w:t>
      </w:r>
    </w:p>
    <w:p w:rsidR="00303738" w:rsidRDefault="00303738">
      <w:pPr>
        <w:pStyle w:val="NormalWeb"/>
        <w:rPr>
          <w:b/>
          <w:bCs/>
        </w:rPr>
      </w:pPr>
    </w:p>
    <w:p w:rsidR="00303738" w:rsidRDefault="00303738">
      <w:pPr>
        <w:pStyle w:val="NormalWeb"/>
        <w:rPr>
          <w:b/>
          <w:bCs/>
        </w:rPr>
      </w:pPr>
    </w:p>
    <w:p w:rsidR="00303738" w:rsidRDefault="00303738">
      <w:pPr>
        <w:pStyle w:val="Nervous5"/>
        <w:ind w:right="8221"/>
        <w:rPr>
          <w:caps w:val="0"/>
        </w:rPr>
      </w:pPr>
      <w:bookmarkStart w:id="7" w:name="_Toc5997452"/>
      <w:r>
        <w:rPr>
          <w:caps w:val="0"/>
        </w:rPr>
        <w:t>Chronic TTH</w:t>
      </w:r>
      <w:bookmarkEnd w:id="7"/>
    </w:p>
    <w:p w:rsidR="00303738" w:rsidRDefault="00303738">
      <w:pPr>
        <w:pStyle w:val="NormalWeb"/>
      </w:pPr>
      <w:r>
        <w:rPr>
          <w:b/>
          <w:bCs/>
        </w:rPr>
        <w:t xml:space="preserve"> </w:t>
      </w:r>
      <w:r>
        <w:rPr>
          <w:b/>
          <w:bCs/>
          <w:u w:val="single"/>
        </w:rPr>
        <w:t>IHS criteria</w:t>
      </w:r>
    </w:p>
    <w:p w:rsidR="00303738" w:rsidRDefault="00303738">
      <w:pPr>
        <w:pStyle w:val="NormalWeb"/>
        <w:numPr>
          <w:ilvl w:val="0"/>
          <w:numId w:val="9"/>
        </w:numPr>
      </w:pPr>
      <w:r>
        <w:lastRenderedPageBreak/>
        <w:t>at least 2 characteristics (as in episodic TTH).</w:t>
      </w:r>
    </w:p>
    <w:p w:rsidR="00303738" w:rsidRDefault="00303738">
      <w:pPr>
        <w:pStyle w:val="NormalWeb"/>
        <w:numPr>
          <w:ilvl w:val="0"/>
          <w:numId w:val="9"/>
        </w:numPr>
      </w:pPr>
      <w:r>
        <w:t>no vomiting!</w:t>
      </w:r>
    </w:p>
    <w:p w:rsidR="00303738" w:rsidRDefault="00303738">
      <w:pPr>
        <w:pStyle w:val="NormalWeb"/>
        <w:numPr>
          <w:ilvl w:val="0"/>
          <w:numId w:val="9"/>
        </w:numPr>
      </w:pPr>
      <w:r>
        <w:t>no more than one of following: nausea, photophobia, phonophobia.</w:t>
      </w:r>
    </w:p>
    <w:p w:rsidR="00303738" w:rsidRDefault="00303738">
      <w:pPr>
        <w:pStyle w:val="NormalWeb"/>
        <w:numPr>
          <w:ilvl w:val="0"/>
          <w:numId w:val="9"/>
        </w:numPr>
      </w:pPr>
      <w:r>
        <w:rPr>
          <w:i/>
          <w:iCs/>
        </w:rPr>
        <w:t>secondary headache</w:t>
      </w:r>
      <w:r>
        <w:t xml:space="preserve"> excluded.</w:t>
      </w:r>
    </w:p>
    <w:p w:rsidR="00303738" w:rsidRDefault="00303738">
      <w:pPr>
        <w:pStyle w:val="NormalWeb"/>
        <w:numPr>
          <w:ilvl w:val="0"/>
          <w:numId w:val="9"/>
        </w:numPr>
      </w:pPr>
      <w:r>
        <w:t xml:space="preserve">number of days with headache </w:t>
      </w:r>
      <w:r>
        <w:rPr>
          <w:highlight w:val="yellow"/>
        </w:rPr>
        <w:t>&gt; 15 days / month</w:t>
      </w:r>
      <w:r>
        <w:t xml:space="preserve"> for &gt; 6 months.</w:t>
      </w:r>
    </w:p>
    <w:p w:rsidR="00303738" w:rsidRDefault="00303738">
      <w:pPr>
        <w:pStyle w:val="NormalWeb"/>
      </w:pPr>
    </w:p>
    <w:p w:rsidR="00303738" w:rsidRDefault="00303738">
      <w:pPr>
        <w:pStyle w:val="NormalWeb"/>
        <w:numPr>
          <w:ilvl w:val="0"/>
          <w:numId w:val="10"/>
        </w:numPr>
      </w:pPr>
      <w:r>
        <w:t xml:space="preserve">patients are often </w:t>
      </w:r>
      <w:r>
        <w:rPr>
          <w:b/>
          <w:bCs/>
          <w:i/>
          <w:iCs/>
          <w:color w:val="FF0000"/>
        </w:rPr>
        <w:t>depressed</w:t>
      </w:r>
      <w:r>
        <w:t>!</w:t>
      </w:r>
    </w:p>
    <w:p w:rsidR="00303738" w:rsidRDefault="00303738">
      <w:pPr>
        <w:pStyle w:val="NormalWeb"/>
        <w:numPr>
          <w:ilvl w:val="0"/>
          <w:numId w:val="10"/>
        </w:numPr>
      </w:pPr>
      <w:r>
        <w:t>prognosis is controversial.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  <w:r>
        <w:t xml:space="preserve">N.B. criteria have </w:t>
      </w:r>
      <w:r>
        <w:rPr>
          <w:b/>
          <w:bCs/>
          <w:i/>
          <w:iCs/>
          <w:color w:val="008000"/>
        </w:rPr>
        <w:t>high specificity</w:t>
      </w:r>
      <w:r>
        <w:t xml:space="preserve"> but </w:t>
      </w:r>
      <w:r>
        <w:rPr>
          <w:b/>
          <w:bCs/>
          <w:i/>
          <w:iCs/>
          <w:color w:val="FF0000"/>
        </w:rPr>
        <w:t>low sensitivity</w:t>
      </w:r>
      <w:r>
        <w:t xml:space="preserve"> - experienced clinicians often make presumptive diagnosis based on fewer criteria and proceed with treatment!</w:t>
      </w:r>
    </w:p>
    <w:p w:rsidR="00303738" w:rsidRDefault="00303738">
      <w:pPr>
        <w:pStyle w:val="NormalWeb"/>
      </w:pPr>
    </w:p>
    <w:p w:rsidR="00303738" w:rsidRDefault="00303738">
      <w:pPr>
        <w:pStyle w:val="NormalWeb"/>
      </w:pPr>
    </w:p>
    <w:p w:rsidR="00E714DD" w:rsidRDefault="00554E73">
      <w:pPr>
        <w:pStyle w:val="NormalWeb"/>
      </w:pPr>
      <w:r>
        <w:rPr>
          <w:noProof/>
        </w:rPr>
        <w:drawing>
          <wp:inline distT="0" distB="0" distL="0" distR="0">
            <wp:extent cx="5372100" cy="7858125"/>
            <wp:effectExtent l="0" t="0" r="0" b="0"/>
            <wp:docPr id="1" name="Picture 1" descr="S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26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C" w:rsidRDefault="00554E73">
      <w:pPr>
        <w:pStyle w:val="NormalWeb"/>
      </w:pPr>
      <w:r>
        <w:rPr>
          <w:noProof/>
        </w:rPr>
        <w:drawing>
          <wp:inline distT="0" distB="0" distL="0" distR="0">
            <wp:extent cx="5419725" cy="3962400"/>
            <wp:effectExtent l="0" t="0" r="0" b="0"/>
            <wp:docPr id="2" name="Picture 2" descr="S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26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DD" w:rsidRDefault="00E714DD">
      <w:pPr>
        <w:pStyle w:val="NormalWeb"/>
      </w:pPr>
    </w:p>
    <w:p w:rsidR="00E714DD" w:rsidRDefault="00E714DD">
      <w:pPr>
        <w:pStyle w:val="NormalWeb"/>
      </w:pPr>
    </w:p>
    <w:p w:rsidR="00303738" w:rsidRDefault="00303738">
      <w:pPr>
        <w:pStyle w:val="Nervous1"/>
      </w:pPr>
      <w:bookmarkStart w:id="8" w:name="_Toc5997453"/>
      <w:r>
        <w:t>Evaluation</w:t>
      </w:r>
      <w:bookmarkEnd w:id="8"/>
    </w:p>
    <w:p w:rsidR="00303738" w:rsidRDefault="00303738">
      <w:pPr>
        <w:pStyle w:val="NormalWeb"/>
      </w:pPr>
      <w:r>
        <w:rPr>
          <w:b/>
          <w:bCs/>
          <w:color w:val="0000FF"/>
        </w:rPr>
        <w:t>Episodic TTH</w:t>
      </w:r>
      <w:r>
        <w:t xml:space="preserve">: long stable history + normal neurological examinations → </w:t>
      </w:r>
      <w:r>
        <w:rPr>
          <w:highlight w:val="yellow"/>
        </w:rPr>
        <w:t>no further evaluation</w:t>
      </w:r>
      <w:r>
        <w:t>.</w:t>
      </w:r>
    </w:p>
    <w:p w:rsidR="00303738" w:rsidRDefault="00303738">
      <w:pPr>
        <w:pStyle w:val="NormalWeb"/>
      </w:pPr>
    </w:p>
    <w:p w:rsidR="00303738" w:rsidRDefault="00303738">
      <w:pPr>
        <w:pStyle w:val="NormalWeb"/>
        <w:rPr>
          <w:szCs w:val="15"/>
          <w:vertAlign w:val="superscript"/>
        </w:rPr>
      </w:pPr>
      <w:r>
        <w:rPr>
          <w:b/>
          <w:bCs/>
          <w:color w:val="0000FF"/>
        </w:rPr>
        <w:t>Chronic TTH</w:t>
      </w:r>
      <w:r>
        <w:t xml:space="preserve"> → </w:t>
      </w:r>
      <w:r>
        <w:rPr>
          <w:highlight w:val="yellow"/>
        </w:rPr>
        <w:t>CT/MRI</w:t>
      </w:r>
      <w:r>
        <w:t xml:space="preserve"> (even if general and neurological examinations are normal!) ± metabolic screen, CBC, electrolytes, kidney &amp; thyroid function studies, psychiatry consultations.</w:t>
      </w:r>
    </w:p>
    <w:p w:rsidR="00303738" w:rsidRDefault="00303738">
      <w:pPr>
        <w:pStyle w:val="NormalWeb"/>
        <w:rPr>
          <w:szCs w:val="15"/>
        </w:rPr>
      </w:pPr>
    </w:p>
    <w:p w:rsidR="00303738" w:rsidRDefault="00303738">
      <w:pPr>
        <w:pStyle w:val="NormalWeb"/>
      </w:pPr>
    </w:p>
    <w:p w:rsidR="00303738" w:rsidRDefault="00303738">
      <w:pPr>
        <w:pStyle w:val="Nervous1"/>
      </w:pPr>
      <w:bookmarkStart w:id="9" w:name="_Toc5997454"/>
      <w:r>
        <w:t>Management</w:t>
      </w:r>
      <w:bookmarkEnd w:id="9"/>
    </w:p>
    <w:p w:rsidR="00303738" w:rsidRDefault="00303738">
      <w:pPr>
        <w:pStyle w:val="NormalWeb"/>
        <w:spacing w:after="120"/>
        <w:jc w:val="center"/>
      </w:pPr>
      <w:r>
        <w:t xml:space="preserve">N.B. symptomatic medication overuse can convert </w:t>
      </w:r>
      <w:r>
        <w:rPr>
          <w:b/>
          <w:bCs/>
          <w:color w:val="0000FF"/>
        </w:rPr>
        <w:t>episodic TTH</w:t>
      </w:r>
      <w:r>
        <w:t xml:space="preserve"> to </w:t>
      </w:r>
      <w:r>
        <w:rPr>
          <w:b/>
          <w:bCs/>
          <w:color w:val="0000FF"/>
        </w:rPr>
        <w:t>chronic TTH</w:t>
      </w:r>
      <w:r>
        <w:t>!</w:t>
      </w:r>
    </w:p>
    <w:p w:rsidR="00303738" w:rsidRDefault="00303738">
      <w:pPr>
        <w:pStyle w:val="NormalWeb"/>
        <w:numPr>
          <w:ilvl w:val="0"/>
          <w:numId w:val="5"/>
        </w:numPr>
      </w:pPr>
      <w:r>
        <w:t xml:space="preserve">patients usually self-medicate with </w:t>
      </w:r>
      <w:r>
        <w:rPr>
          <w:b/>
          <w:bCs/>
          <w:i/>
          <w:iCs/>
          <w:color w:val="0000FF"/>
        </w:rPr>
        <w:t>over-the-counter analgesics</w:t>
      </w:r>
      <w:r>
        <w:t xml:space="preserve"> (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aspirin</w:t>
      </w:r>
      <w:r>
        <w:t xml:space="preserve"> /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acetaminophen</w:t>
      </w:r>
      <w:r>
        <w:t xml:space="preserve"> / </w:t>
      </w:r>
      <w:r>
        <w:rPr>
          <w:b/>
          <w:bCs/>
        </w:rPr>
        <w:t>NSAIDs</w:t>
      </w:r>
      <w:r>
        <w:t xml:space="preserve"> ±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caffeine</w:t>
      </w:r>
      <w:r>
        <w:t>).</w:t>
      </w:r>
    </w:p>
    <w:p w:rsidR="00303738" w:rsidRDefault="00303738">
      <w:pPr>
        <w:pStyle w:val="NormalWeb"/>
        <w:numPr>
          <w:ilvl w:val="0"/>
          <w:numId w:val="5"/>
        </w:numPr>
      </w:pPr>
      <w:r>
        <w:rPr>
          <w:u w:val="single"/>
        </w:rPr>
        <w:t>if OTC are not effective</w:t>
      </w:r>
      <w:r>
        <w:t>:</w:t>
      </w:r>
    </w:p>
    <w:p w:rsidR="00303738" w:rsidRDefault="00303738">
      <w:pPr>
        <w:pStyle w:val="NormalWeb"/>
        <w:numPr>
          <w:ilvl w:val="1"/>
          <w:numId w:val="5"/>
        </w:numPr>
      </w:pPr>
      <w:r>
        <w:t>prescription</w:t>
      </w:r>
      <w:r>
        <w:rPr>
          <w:b/>
          <w:bCs/>
          <w:i/>
          <w:iCs/>
          <w:color w:val="0000FF"/>
        </w:rPr>
        <w:t xml:space="preserve"> NSAIDs</w:t>
      </w:r>
      <w:r>
        <w:t xml:space="preserve"> (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ibuprofen</w:t>
      </w:r>
      <w:r>
        <w:t xml:space="preserve">,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ketoprofen</w:t>
      </w:r>
      <w:r>
        <w:t xml:space="preserve">,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naproxen</w:t>
      </w:r>
      <w:r>
        <w:t>)</w:t>
      </w:r>
    </w:p>
    <w:p w:rsidR="00303738" w:rsidRDefault="00303738">
      <w:pPr>
        <w:pStyle w:val="NormalWeb"/>
        <w:numPr>
          <w:ilvl w:val="1"/>
          <w:numId w:val="5"/>
        </w:numPr>
      </w:pPr>
      <w:r>
        <w:rPr>
          <w:b/>
          <w:bCs/>
          <w:i/>
          <w:iCs/>
          <w:color w:val="0000FF"/>
        </w:rPr>
        <w:t>combination analgesic</w:t>
      </w:r>
      <w:r>
        <w:rPr>
          <w:color w:val="0000FF"/>
        </w:rPr>
        <w:t xml:space="preserve"> </w:t>
      </w:r>
      <w:r>
        <w:t>(with</w:t>
      </w:r>
      <w:r>
        <w:rPr>
          <w:color w:val="0000FF"/>
        </w:rPr>
        <w:t xml:space="preserve">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isometheptene</w:t>
      </w:r>
      <w:r>
        <w:t xml:space="preserve"> mucate,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butalbital</w:t>
      </w:r>
      <w:r>
        <w:t>)</w:t>
      </w:r>
    </w:p>
    <w:p w:rsidR="00303738" w:rsidRDefault="00303738">
      <w:pPr>
        <w:pStyle w:val="NormalWeb"/>
        <w:numPr>
          <w:ilvl w:val="1"/>
          <w:numId w:val="5"/>
        </w:numPr>
      </w:pPr>
      <w:r>
        <w:rPr>
          <w:b/>
          <w:bCs/>
          <w:i/>
          <w:iCs/>
          <w:color w:val="0000FF"/>
        </w:rPr>
        <w:t>physical therapy</w:t>
      </w:r>
      <w:r>
        <w:t xml:space="preserve"> - neck massage and heat, stretching exercises, traction, manipulations, ultrasound therapy, TENS.</w:t>
      </w:r>
    </w:p>
    <w:p w:rsidR="00303738" w:rsidRDefault="00303738">
      <w:pPr>
        <w:pStyle w:val="NormalWeb"/>
        <w:numPr>
          <w:ilvl w:val="1"/>
          <w:numId w:val="5"/>
        </w:numPr>
      </w:pPr>
      <w:r>
        <w:rPr>
          <w:b/>
          <w:bCs/>
          <w:i/>
          <w:iCs/>
          <w:color w:val="0000FF"/>
        </w:rPr>
        <w:t>psychophysiologic therapy</w:t>
      </w:r>
      <w:r>
        <w:t xml:space="preserve"> - relaxation techniques, biofeedback techniques.</w:t>
      </w:r>
    </w:p>
    <w:p w:rsidR="00303738" w:rsidRDefault="00303738">
      <w:pPr>
        <w:pStyle w:val="NormalWeb"/>
        <w:numPr>
          <w:ilvl w:val="1"/>
          <w:numId w:val="5"/>
        </w:numPr>
      </w:pPr>
      <w:r>
        <w:rPr>
          <w:b/>
          <w:bCs/>
          <w:i/>
          <w:iCs/>
          <w:color w:val="0000FF"/>
        </w:rPr>
        <w:t>minimally invasive techniques</w:t>
      </w:r>
      <w:r>
        <w:t xml:space="preserve"> - trigger point injections, nerve blocks (greater or lesser occipital nerve, auriculotemporal nerve, supraorbital nerve), botulinum toxin</w:t>
      </w:r>
      <w:r w:rsidR="00B82C3E">
        <w:t>*</w:t>
      </w:r>
      <w:r>
        <w:t xml:space="preserve"> injection in pericranial muscle.</w:t>
      </w:r>
    </w:p>
    <w:p w:rsidR="00B82C3E" w:rsidRPr="00B82C3E" w:rsidRDefault="00B82C3E" w:rsidP="00B82C3E">
      <w:pPr>
        <w:pStyle w:val="NormalWeb"/>
        <w:ind w:left="1080"/>
        <w:jc w:val="right"/>
      </w:pPr>
      <w:r>
        <w:t xml:space="preserve">*probably ineffective by </w:t>
      </w:r>
      <w:r w:rsidRPr="00B82C3E">
        <w:t>American Academy of Neurology</w:t>
      </w:r>
      <w:r>
        <w:t xml:space="preserve"> report</w:t>
      </w:r>
    </w:p>
    <w:p w:rsidR="00303738" w:rsidRDefault="00303738">
      <w:pPr>
        <w:pStyle w:val="NormalWeb"/>
      </w:pPr>
      <w:r>
        <w:t xml:space="preserve">N.B. overuse of analgesics that contain </w:t>
      </w:r>
      <w:r>
        <w:rPr>
          <w:i/>
          <w:iCs/>
          <w:color w:val="FF0000"/>
        </w:rPr>
        <w:t>narcotics</w:t>
      </w:r>
      <w:r>
        <w:t xml:space="preserve"> / </w:t>
      </w:r>
      <w:r>
        <w:rPr>
          <w:i/>
          <w:iCs/>
          <w:color w:val="FF0000"/>
        </w:rPr>
        <w:t>sedatives</w:t>
      </w:r>
      <w:r>
        <w:t xml:space="preserve"> / </w:t>
      </w:r>
      <w:r>
        <w:rPr>
          <w:i/>
          <w:iCs/>
          <w:color w:val="FF0000"/>
        </w:rPr>
        <w:t>caffeine</w:t>
      </w:r>
      <w:r>
        <w:t xml:space="preserve"> may cause dependence!</w:t>
      </w:r>
    </w:p>
    <w:p w:rsidR="00303738" w:rsidRDefault="00303738">
      <w:pPr>
        <w:pStyle w:val="NormalWeb"/>
      </w:pPr>
    </w:p>
    <w:p w:rsidR="00F3170C" w:rsidRDefault="00554E73">
      <w:pPr>
        <w:pStyle w:val="NormalWeb"/>
      </w:pPr>
      <w:r>
        <w:rPr>
          <w:noProof/>
        </w:rPr>
        <w:drawing>
          <wp:inline distT="0" distB="0" distL="0" distR="0">
            <wp:extent cx="5048250" cy="7439025"/>
            <wp:effectExtent l="0" t="0" r="0" b="0"/>
            <wp:docPr id="3" name="Picture 3" descr="S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26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0C" w:rsidRDefault="00F3170C">
      <w:pPr>
        <w:pStyle w:val="NormalWeb"/>
      </w:pPr>
    </w:p>
    <w:p w:rsidR="00303738" w:rsidRDefault="00303738">
      <w:pPr>
        <w:pStyle w:val="NormalWeb"/>
      </w:pPr>
    </w:p>
    <w:p w:rsidR="00303738" w:rsidRDefault="00303738">
      <w:pPr>
        <w:pStyle w:val="Nervous1"/>
      </w:pPr>
      <w:bookmarkStart w:id="10" w:name="_Toc5997455"/>
      <w:r>
        <w:t>Preventive therapy</w:t>
      </w:r>
      <w:bookmarkEnd w:id="10"/>
    </w:p>
    <w:p w:rsidR="00303738" w:rsidRDefault="00303738">
      <w:pPr>
        <w:pStyle w:val="NormalWeb"/>
      </w:pPr>
      <w:r>
        <w:t xml:space="preserve">- indicated if frequent headaches </w:t>
      </w:r>
      <w:r>
        <w:rPr>
          <w:i/>
          <w:iCs/>
          <w:color w:val="FF0000"/>
        </w:rPr>
        <w:t>produce disability</w:t>
      </w:r>
      <w:r>
        <w:t xml:space="preserve"> or may lead to </w:t>
      </w:r>
      <w:r>
        <w:rPr>
          <w:i/>
          <w:iCs/>
          <w:color w:val="FF0000"/>
        </w:rPr>
        <w:t>symptomatic medication overuse</w:t>
      </w:r>
      <w:r>
        <w:t>.</w:t>
      </w:r>
    </w:p>
    <w:p w:rsidR="00303738" w:rsidRDefault="00303738">
      <w:pPr>
        <w:pStyle w:val="NormalWeb"/>
      </w:pPr>
    </w:p>
    <w:p w:rsidR="00303738" w:rsidRDefault="00303738">
      <w:pPr>
        <w:pStyle w:val="NormalWeb"/>
        <w:numPr>
          <w:ilvl w:val="0"/>
          <w:numId w:val="6"/>
        </w:numPr>
        <w:rPr>
          <w:szCs w:val="15"/>
          <w:vertAlign w:val="superscript"/>
        </w:rPr>
      </w:pPr>
      <w:r>
        <w:rPr>
          <w:b/>
          <w:bCs/>
        </w:rPr>
        <w:t>tricyclic antidepressants</w:t>
      </w:r>
      <w:r>
        <w:t xml:space="preserve"> - first choice! (esp. 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amitriptyline</w:t>
      </w:r>
      <w:r>
        <w:t>)</w:t>
      </w:r>
    </w:p>
    <w:p w:rsidR="00303738" w:rsidRDefault="00303738">
      <w:pPr>
        <w:pStyle w:val="NormalWeb"/>
        <w:ind w:left="1440"/>
        <w:rPr>
          <w:szCs w:val="15"/>
          <w:vertAlign w:val="superscript"/>
        </w:rPr>
      </w:pPr>
      <w:r>
        <w:t>Adequate trial period of at least 1-2 months must be allowed!</w:t>
      </w:r>
    </w:p>
    <w:p w:rsidR="00303738" w:rsidRDefault="00303738" w:rsidP="007B34DD">
      <w:pPr>
        <w:pStyle w:val="NormalWeb"/>
        <w:numPr>
          <w:ilvl w:val="0"/>
          <w:numId w:val="6"/>
        </w:numPr>
        <w:rPr>
          <w:b/>
          <w:bCs/>
          <w:szCs w:val="15"/>
          <w:vertAlign w:val="superscript"/>
        </w:rPr>
      </w:pPr>
      <w:r>
        <w:rPr>
          <w:b/>
          <w:bCs/>
        </w:rPr>
        <w:t>β-blockers</w:t>
      </w:r>
    </w:p>
    <w:p w:rsidR="00303738" w:rsidRDefault="00303738" w:rsidP="007B34DD">
      <w:pPr>
        <w:pStyle w:val="NormalWeb"/>
        <w:numPr>
          <w:ilvl w:val="0"/>
          <w:numId w:val="6"/>
        </w:numPr>
      </w:pPr>
      <w:r>
        <w:rPr>
          <w:b/>
          <w:bCs/>
        </w:rPr>
        <w:t xml:space="preserve">anticonvulsants </w:t>
      </w:r>
      <w:r>
        <w:t>(</w:t>
      </w:r>
      <w:r w:rsidRPr="00554E73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>
        <w:t>)</w:t>
      </w:r>
    </w:p>
    <w:p w:rsidR="007B34DD" w:rsidRDefault="00303738" w:rsidP="007B34DD">
      <w:pPr>
        <w:pStyle w:val="NormalWeb"/>
        <w:numPr>
          <w:ilvl w:val="0"/>
          <w:numId w:val="6"/>
        </w:numPr>
      </w:pPr>
      <w:r w:rsidRPr="007B34DD">
        <w:rPr>
          <w:b/>
          <w:bCs/>
        </w:rPr>
        <w:t>biofeedback</w:t>
      </w:r>
      <w:r>
        <w:t xml:space="preserve"> therapy.</w:t>
      </w:r>
    </w:p>
    <w:p w:rsidR="007B34DD" w:rsidRDefault="007B34DD" w:rsidP="007B34DD">
      <w:pPr>
        <w:pStyle w:val="NormalWeb"/>
        <w:numPr>
          <w:ilvl w:val="0"/>
          <w:numId w:val="6"/>
        </w:numPr>
      </w:pPr>
      <w:r w:rsidRPr="007B34DD">
        <w:rPr>
          <w:b/>
        </w:rPr>
        <w:t>peripheral nerve blocks</w:t>
      </w:r>
      <w:r>
        <w:t xml:space="preserve"> </w:t>
      </w:r>
      <w:hyperlink r:id="rId10" w:anchor="Peripheral_Nerve_Blocks" w:history="1">
        <w:r>
          <w:rPr>
            <w:rStyle w:val="Hyperlink"/>
          </w:rPr>
          <w:t xml:space="preserve">see p. </w:t>
        </w:r>
        <w:r w:rsidRPr="00382604">
          <w:rPr>
            <w:rStyle w:val="Hyperlink"/>
          </w:rPr>
          <w:t>S24 &gt;&gt;</w:t>
        </w:r>
      </w:hyperlink>
    </w:p>
    <w:p w:rsidR="007B34DD" w:rsidRDefault="007B34DD" w:rsidP="006C4B96"/>
    <w:p w:rsidR="000F727E" w:rsidRDefault="000F727E" w:rsidP="006C4B96"/>
    <w:p w:rsidR="000F727E" w:rsidRDefault="000F727E" w:rsidP="006C4B96"/>
    <w:p w:rsidR="00303738" w:rsidRDefault="00303738" w:rsidP="006C4B96"/>
    <w:p w:rsidR="00C37708" w:rsidRPr="00310A53" w:rsidRDefault="00C37708" w:rsidP="00C37708">
      <w:pPr>
        <w:rPr>
          <w:szCs w:val="24"/>
        </w:rPr>
      </w:pPr>
      <w:r w:rsidRPr="00310A53">
        <w:rPr>
          <w:smallCaps/>
          <w:szCs w:val="24"/>
          <w:u w:val="single"/>
        </w:rPr>
        <w:t>Bibliography</w:t>
      </w:r>
      <w:r w:rsidRPr="00310A53">
        <w:rPr>
          <w:szCs w:val="24"/>
        </w:rPr>
        <w:t xml:space="preserve"> </w:t>
      </w:r>
      <w:r w:rsidRPr="00310A53">
        <w:rPr>
          <w:iCs/>
        </w:rPr>
        <w:t xml:space="preserve">see </w:t>
      </w:r>
      <w:hyperlink r:id="rId11" w:history="1">
        <w:r w:rsidRPr="00F640AD">
          <w:rPr>
            <w:rStyle w:val="Hyperlink"/>
            <w:iCs/>
          </w:rPr>
          <w:t>p. S24 &gt;&gt;</w:t>
        </w:r>
      </w:hyperlink>
    </w:p>
    <w:p w:rsidR="00B50A89" w:rsidRDefault="00B50A89" w:rsidP="00B50A89">
      <w:pPr>
        <w:rPr>
          <w:sz w:val="20"/>
        </w:rPr>
      </w:pPr>
    </w:p>
    <w:p w:rsidR="00B50A89" w:rsidRDefault="00B50A89" w:rsidP="00B50A89">
      <w:pPr>
        <w:pBdr>
          <w:bottom w:val="single" w:sz="4" w:space="1" w:color="auto"/>
        </w:pBdr>
        <w:ind w:right="57"/>
        <w:rPr>
          <w:sz w:val="20"/>
        </w:rPr>
      </w:pPr>
    </w:p>
    <w:p w:rsidR="00B50A89" w:rsidRDefault="00B50A89" w:rsidP="00B50A89">
      <w:pPr>
        <w:pBdr>
          <w:bottom w:val="single" w:sz="4" w:space="1" w:color="auto"/>
        </w:pBdr>
        <w:ind w:right="57"/>
        <w:rPr>
          <w:sz w:val="20"/>
        </w:rPr>
      </w:pPr>
    </w:p>
    <w:p w:rsidR="00B50A89" w:rsidRDefault="00AF31AC" w:rsidP="00B50A8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2" w:tgtFrame="_blank" w:history="1">
        <w:r w:rsidR="00B50A89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B50A89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B50A89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B50A89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B50A89" w:rsidRDefault="00AF31AC" w:rsidP="00B50A8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3" w:tgtFrame="_blank" w:history="1">
        <w:r w:rsidR="00B50A89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r w:rsidR="00B50A89">
        <w:rPr>
          <w:iCs/>
        </w:rPr>
        <w:t xml:space="preserve"> </w:t>
      </w:r>
    </w:p>
    <w:bookmarkEnd w:id="1"/>
    <w:p w:rsidR="00303738" w:rsidRDefault="00303738" w:rsidP="00B50A89"/>
    <w:sectPr w:rsidR="00303738" w:rsidSect="00BE76D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E97" w:rsidRDefault="007F3E97">
      <w:r>
        <w:separator/>
      </w:r>
    </w:p>
  </w:endnote>
  <w:endnote w:type="continuationSeparator" w:id="0">
    <w:p w:rsidR="007F3E97" w:rsidRDefault="007F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66" w:rsidRDefault="00582C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66" w:rsidRDefault="00582C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66" w:rsidRDefault="00582C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E97" w:rsidRDefault="007F3E97">
      <w:r>
        <w:separator/>
      </w:r>
    </w:p>
  </w:footnote>
  <w:footnote w:type="continuationSeparator" w:id="0">
    <w:p w:rsidR="007F3E97" w:rsidRDefault="007F3E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66" w:rsidRDefault="00582C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738" w:rsidRPr="00B50A89" w:rsidRDefault="00B50A89" w:rsidP="00B50A89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4" name="Picture 4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Tension-type Headache</w:t>
    </w:r>
    <w:r>
      <w:rPr>
        <w:b/>
        <w:bCs/>
        <w:iCs/>
        <w:smallCaps/>
      </w:rPr>
      <w:tab/>
    </w:r>
    <w:r>
      <w:t>S26 (</w:t>
    </w:r>
    <w:r>
      <w:fldChar w:fldCharType="begin"/>
    </w:r>
    <w:r>
      <w:instrText xml:space="preserve"> PAGE </w:instrText>
    </w:r>
    <w:r>
      <w:fldChar w:fldCharType="separate"/>
    </w:r>
    <w:r w:rsidR="00AF31AC">
      <w:rPr>
        <w:noProof/>
      </w:rPr>
      <w:t>1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C66" w:rsidRDefault="00582C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17795"/>
    <w:multiLevelType w:val="hybridMultilevel"/>
    <w:tmpl w:val="3A30908E"/>
    <w:lvl w:ilvl="0" w:tplc="8E1A14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D04998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93677"/>
    <w:multiLevelType w:val="hybridMultilevel"/>
    <w:tmpl w:val="616E3414"/>
    <w:lvl w:ilvl="0" w:tplc="8E1A14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2007B"/>
    <w:multiLevelType w:val="hybridMultilevel"/>
    <w:tmpl w:val="E19CBE82"/>
    <w:lvl w:ilvl="0" w:tplc="CC1CC81A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1" w:tplc="AD3A04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16B95"/>
    <w:multiLevelType w:val="hybridMultilevel"/>
    <w:tmpl w:val="E19CBE82"/>
    <w:lvl w:ilvl="0" w:tplc="CC1CC81A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color w:val="000000"/>
      </w:rPr>
    </w:lvl>
    <w:lvl w:ilvl="1" w:tplc="EE6AFB9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944A8"/>
    <w:multiLevelType w:val="hybridMultilevel"/>
    <w:tmpl w:val="312A6540"/>
    <w:lvl w:ilvl="0" w:tplc="EE6AFB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324AD"/>
    <w:multiLevelType w:val="hybridMultilevel"/>
    <w:tmpl w:val="9260FF84"/>
    <w:lvl w:ilvl="0" w:tplc="9DFE891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EC6C2E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B093636"/>
    <w:multiLevelType w:val="hybridMultilevel"/>
    <w:tmpl w:val="0AA49044"/>
    <w:lvl w:ilvl="0" w:tplc="8E1A14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81CD2"/>
    <w:multiLevelType w:val="hybridMultilevel"/>
    <w:tmpl w:val="8500D29E"/>
    <w:lvl w:ilvl="0" w:tplc="8E1A14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91F27BC"/>
    <w:multiLevelType w:val="hybridMultilevel"/>
    <w:tmpl w:val="2CD43D60"/>
    <w:lvl w:ilvl="0" w:tplc="8E1A14E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CC1CC81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E7AC3"/>
    <w:multiLevelType w:val="hybridMultilevel"/>
    <w:tmpl w:val="DC44DE40"/>
    <w:lvl w:ilvl="0" w:tplc="CD04998A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BDF73E3"/>
    <w:multiLevelType w:val="hybridMultilevel"/>
    <w:tmpl w:val="29EA6304"/>
    <w:lvl w:ilvl="0" w:tplc="9DFE891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1A14E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6"/>
  </w:num>
  <w:num w:numId="8">
    <w:abstractNumId w:val="1"/>
  </w:num>
  <w:num w:numId="9">
    <w:abstractNumId w:val="10"/>
  </w:num>
  <w:num w:numId="10">
    <w:abstractNumId w:val="4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C3E"/>
    <w:rsid w:val="000F727E"/>
    <w:rsid w:val="002B0C83"/>
    <w:rsid w:val="00303738"/>
    <w:rsid w:val="003516C9"/>
    <w:rsid w:val="00477110"/>
    <w:rsid w:val="00554E73"/>
    <w:rsid w:val="005717D3"/>
    <w:rsid w:val="00582C66"/>
    <w:rsid w:val="005B3103"/>
    <w:rsid w:val="006A1770"/>
    <w:rsid w:val="006C0E04"/>
    <w:rsid w:val="006C4B96"/>
    <w:rsid w:val="007B34DD"/>
    <w:rsid w:val="007F3E97"/>
    <w:rsid w:val="009637E3"/>
    <w:rsid w:val="00A059E2"/>
    <w:rsid w:val="00AD6C6B"/>
    <w:rsid w:val="00AE6D87"/>
    <w:rsid w:val="00AF31AC"/>
    <w:rsid w:val="00B50A89"/>
    <w:rsid w:val="00B82C3E"/>
    <w:rsid w:val="00BE76D8"/>
    <w:rsid w:val="00C37708"/>
    <w:rsid w:val="00CD3A8E"/>
    <w:rsid w:val="00CE5181"/>
    <w:rsid w:val="00DE799F"/>
    <w:rsid w:val="00E468D2"/>
    <w:rsid w:val="00E714DD"/>
    <w:rsid w:val="00EA6F03"/>
    <w:rsid w:val="00EB2DFC"/>
    <w:rsid w:val="00F07D51"/>
    <w:rsid w:val="00F3170C"/>
    <w:rsid w:val="00FE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CF5F268-1A89-4FE3-B4C0-08377C34C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4DD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B34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B34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B34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B34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B34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7B34DD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7B34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7B34DD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7B34DD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7B34DD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7B34DD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7B34DD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7B34DD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7B34DD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7B34DD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7B34DD"/>
    <w:rPr>
      <w:color w:val="999999"/>
      <w:u w:val="none"/>
    </w:rPr>
  </w:style>
  <w:style w:type="paragraph" w:customStyle="1" w:styleId="Nervous4">
    <w:name w:val="Nervous 4"/>
    <w:basedOn w:val="Normal"/>
    <w:rsid w:val="007B34D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7B34DD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7B34DD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7B34DD"/>
  </w:style>
  <w:style w:type="paragraph" w:customStyle="1" w:styleId="Drugname">
    <w:name w:val="Drug name"/>
    <w:basedOn w:val="NormalWeb"/>
    <w:autoRedefine/>
    <w:rsid w:val="007B34DD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7B34DD"/>
    <w:rPr>
      <w:szCs w:val="24"/>
    </w:rPr>
  </w:style>
  <w:style w:type="paragraph" w:customStyle="1" w:styleId="Nervous6">
    <w:name w:val="Nervous 6"/>
    <w:basedOn w:val="Normal"/>
    <w:rsid w:val="007B34DD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7B34DD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7B34DD"/>
    <w:rPr>
      <w:b w:val="0"/>
      <w:caps w:val="0"/>
      <w:smallCaps/>
    </w:rPr>
  </w:style>
  <w:style w:type="paragraph" w:styleId="TOC3">
    <w:name w:val="toc 3"/>
    <w:basedOn w:val="Normal"/>
    <w:next w:val="Normal"/>
    <w:autoRedefine/>
    <w:rsid w:val="007B34DD"/>
    <w:pPr>
      <w:ind w:left="480"/>
    </w:pPr>
  </w:style>
  <w:style w:type="paragraph" w:styleId="TOC4">
    <w:name w:val="toc 4"/>
    <w:basedOn w:val="Normal"/>
    <w:next w:val="Normal"/>
    <w:autoRedefine/>
    <w:semiHidden/>
    <w:rsid w:val="007B34DD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7B34DD"/>
    <w:rPr>
      <w:color w:val="999999"/>
      <w:u w:val="none"/>
    </w:rPr>
  </w:style>
  <w:style w:type="paragraph" w:customStyle="1" w:styleId="Nervous9">
    <w:name w:val="Nervous 9"/>
    <w:rsid w:val="007B34DD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7B34DD"/>
    <w:rPr>
      <w:i/>
      <w:smallCaps/>
      <w:color w:val="999999"/>
      <w:szCs w:val="24"/>
    </w:rPr>
  </w:style>
  <w:style w:type="character" w:customStyle="1" w:styleId="Heading1Char">
    <w:name w:val="Heading 1 Char"/>
    <w:basedOn w:val="DefaultParagraphFont"/>
    <w:link w:val="Heading1"/>
    <w:rsid w:val="007B34DD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B34D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7B34D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7B34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7B34DD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7B34DD"/>
    <w:pPr>
      <w:ind w:left="2155"/>
    </w:pPr>
    <w:rPr>
      <w:i/>
      <w:sz w:val="20"/>
    </w:rPr>
  </w:style>
  <w:style w:type="character" w:customStyle="1" w:styleId="Trialname">
    <w:name w:val="Trial name"/>
    <w:basedOn w:val="DefaultParagraphFont"/>
    <w:qFormat/>
    <w:rsid w:val="007B34DD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alloonText">
    <w:name w:val="Balloon Text"/>
    <w:basedOn w:val="Normal"/>
    <w:link w:val="BalloonTextChar"/>
    <w:rsid w:val="007B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34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B3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34DD"/>
    <w:pPr>
      <w:ind w:left="720"/>
    </w:pPr>
  </w:style>
  <w:style w:type="character" w:customStyle="1" w:styleId="NormalWebChar">
    <w:name w:val="Normal (Web) Char"/>
    <w:basedOn w:val="DefaultParagraphFont"/>
    <w:link w:val="NormalWeb"/>
    <w:rsid w:val="007B34DD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50A89"/>
    <w:rPr>
      <w:color w:val="99999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3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eurosurgeryresident.ne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eurosurgeryresident.net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S.%20Symptoms,%20Signs,%20Syndromes\S20-29.%20Pain,%20Headache,%20Opioids,%20Sensory%20Disorders\S24.%20GENERAL%20-%20Headache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NEUROSURGERYRESIDENT.NET/S.%20SYMPTOMS,%20SIGNS,%20SYNDROMES\S20-29.%20PAIN,%20HEADACHE,%20OPIOIDS,%20SENSORY%20DISORDERS\S24.%20GENERAL%20-%20Headache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16</TotalTime>
  <Pages>7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7239</CharactersWithSpaces>
  <SharedDoc>false</SharedDoc>
  <HLinks>
    <vt:vector size="48" baseType="variant">
      <vt:variant>
        <vt:i4>131087</vt:i4>
      </vt:variant>
      <vt:variant>
        <vt:i4>45</vt:i4>
      </vt:variant>
      <vt:variant>
        <vt:i4>0</vt:i4>
      </vt:variant>
      <vt:variant>
        <vt:i4>5</vt:i4>
      </vt:variant>
      <vt:variant>
        <vt:lpwstr>S24. GENERAL - Headache.doc</vt:lpwstr>
      </vt:variant>
      <vt:variant>
        <vt:lpwstr>Peripheral_Nerve_Blocks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_Toc231407405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_Toc231407404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_Toc231407403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_Toc231407402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_Toc231407401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_Toc231407400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_Toc231407399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13</cp:revision>
  <cp:lastPrinted>2019-05-08T06:15:00Z</cp:lastPrinted>
  <dcterms:created xsi:type="dcterms:W3CDTF">2016-03-21T05:08:00Z</dcterms:created>
  <dcterms:modified xsi:type="dcterms:W3CDTF">2019-05-08T06:15:00Z</dcterms:modified>
</cp:coreProperties>
</file>